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Зарегистрировано в Минюсте России 6 февраля 2020 г. N 57449</w:t>
      </w:r>
    </w:p>
    <w:p w:rsidR="00142531" w:rsidRDefault="00142531" w:rsidP="001425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"/>
          <w:szCs w:val="4"/>
        </w:rPr>
        <w:t> 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ФЕДЕРАЛЬНОЕ АРХИВНОЕ АГЕНТСТВО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20 декабря 2019 г. N 236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hyperlink r:id="rId5" w:history="1">
        <w:r>
          <w:rPr>
            <w:rFonts w:ascii="Times New Roman" w:hAnsi="Times New Roman"/>
            <w:u w:val="single"/>
          </w:rPr>
          <w:t>частью 3</w:t>
        </w:r>
      </w:hyperlink>
      <w:r>
        <w:rPr>
          <w:rFonts w:ascii="Times New Roman" w:hAnsi="Times New Roman"/>
        </w:rPr>
        <w:t xml:space="preserve"> статьи 6 Федерального закона от 22 октября 2004 г. N 125-ФЗ "Об архивном деле в Российской Федерации" (Собрание законодательства Российской Федерации, 2004, N 43, ст. 4169; 2018, N 1, ст. 19), </w:t>
      </w:r>
      <w:hyperlink r:id="rId6" w:history="1">
        <w:r>
          <w:rPr>
            <w:rFonts w:ascii="Times New Roman" w:hAnsi="Times New Roman"/>
            <w:u w:val="single"/>
          </w:rPr>
          <w:t>подпунктом 6</w:t>
        </w:r>
      </w:hyperlink>
      <w:r>
        <w:rPr>
          <w:rFonts w:ascii="Times New Roman" w:hAnsi="Times New Roman"/>
        </w:rPr>
        <w:t xml:space="preserve"> пункта 6 Положения о Федеральном архивном агентстве, утвержденном Указом Президента Российской Федерации от 22 июня 2016 г. N 293 (Собрание законодательства Российской Федерации, 2016, N 26, ст. 4034; 2018, N 52, ст. 8239), приказываю: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прилагаемый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Руководитель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А.Н. АРТИЗОВ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9C3D8E" w:rsidRDefault="009C3D8E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УТВЕРЖДЕН</w:t>
      </w:r>
    </w:p>
    <w:p w:rsidR="00142531" w:rsidRDefault="009C3D8E" w:rsidP="009C3D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</w:t>
      </w:r>
      <w:r w:rsidR="00142531">
        <w:rPr>
          <w:rFonts w:ascii="Times New Roman" w:hAnsi="Times New Roman"/>
          <w:i/>
          <w:iCs/>
        </w:rPr>
        <w:t>риказом</w:t>
      </w:r>
      <w:r>
        <w:rPr>
          <w:rFonts w:ascii="Times New Roman" w:hAnsi="Times New Roman"/>
          <w:i/>
          <w:iCs/>
        </w:rPr>
        <w:t xml:space="preserve"> </w:t>
      </w:r>
      <w:r w:rsidR="00142531">
        <w:rPr>
          <w:rFonts w:ascii="Times New Roman" w:hAnsi="Times New Roman"/>
          <w:i/>
          <w:iCs/>
        </w:rPr>
        <w:t>Федерального архивного агентства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от 20.12.2019 г. N 236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- Перечень) подготовлен в соответствии с </w:t>
      </w:r>
      <w:hyperlink r:id="rId7" w:history="1">
        <w:r>
          <w:rPr>
            <w:rFonts w:ascii="Times New Roman" w:hAnsi="Times New Roman"/>
            <w:u w:val="single"/>
          </w:rPr>
          <w:t>частью 3</w:t>
        </w:r>
      </w:hyperlink>
      <w:r>
        <w:rPr>
          <w:rFonts w:ascii="Times New Roman" w:hAnsi="Times New Roman"/>
        </w:rPr>
        <w:t xml:space="preserve"> статьи 6 Федерального закона от 22 октября 2004 г. N 125-ФЗ "Об архивном деле в Российской Федерации" (Собрание законодательства Российской Федерации, 2004, N 43, ст. 4169, 2018, N 1, ст. 19), с </w:t>
      </w:r>
      <w:hyperlink r:id="rId8" w:history="1">
        <w:r>
          <w:rPr>
            <w:rFonts w:ascii="Times New Roman" w:hAnsi="Times New Roman"/>
            <w:u w:val="single"/>
          </w:rPr>
          <w:t>подпунктом 6</w:t>
        </w:r>
      </w:hyperlink>
      <w:r>
        <w:rPr>
          <w:rFonts w:ascii="Times New Roman" w:hAnsi="Times New Roman"/>
        </w:rPr>
        <w:t xml:space="preserve"> пункта 6 Положения о Федеральном архивном агентстве, утвержденном Указом Президента Российской Федерации от 22 июня 2016 г. N 293 (Собрание законодательства Российской Федерации, 2016, N 26, ст. 4034; 2018, N 52, ст. 8239) с учетом положений федеральных законов, иных нормативных правовых актов Российской Федерации, устанавливающих правила организации хранения, комплектования, учета и использования документов Архивного фонда Российской Федерации и других архивных документов, состав и сроки хранения архивных документов.</w:t>
      </w:r>
    </w:p>
    <w:p w:rsidR="00142531" w:rsidRDefault="00142531" w:rsidP="0014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- организаций)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932334" w:rsidRDefault="00142531" w:rsidP="009C3D8E">
      <w:pPr>
        <w:spacing w:before="90" w:after="90" w:line="240" w:lineRule="auto"/>
        <w:ind w:right="-84"/>
        <w:jc w:val="both"/>
        <w:rPr>
          <w:rFonts w:eastAsia="Times New Roman"/>
          <w:b/>
          <w:lang w:eastAsia="ru-RU"/>
        </w:rPr>
      </w:pPr>
      <w:r>
        <w:rPr>
          <w:rFonts w:ascii="Times New Roman" w:hAnsi="Times New Roman"/>
        </w:rPr>
        <w:t>1.3.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DE62DE" w:rsidRPr="00AB2F98" w:rsidRDefault="00DE62DE" w:rsidP="00DE62DE">
      <w:pPr>
        <w:spacing w:before="90" w:after="90" w:line="240" w:lineRule="auto"/>
        <w:ind w:left="675" w:right="675"/>
        <w:jc w:val="center"/>
        <w:rPr>
          <w:rFonts w:eastAsia="Times New Roman"/>
          <w:b/>
          <w:lang w:eastAsia="ru-RU"/>
        </w:rPr>
      </w:pPr>
      <w:r w:rsidRPr="00AB2F98">
        <w:rPr>
          <w:rFonts w:eastAsia="Times New Roman"/>
          <w:b/>
          <w:lang w:eastAsia="ru-RU"/>
        </w:rPr>
        <w:t>II.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</w:p>
    <w:p w:rsidR="00DE62DE" w:rsidRPr="00AB2F98" w:rsidRDefault="00DE62DE" w:rsidP="00DE62DE">
      <w:pPr>
        <w:spacing w:before="90" w:after="90" w:line="240" w:lineRule="auto"/>
        <w:ind w:firstLine="675"/>
        <w:jc w:val="both"/>
        <w:rPr>
          <w:rFonts w:eastAsia="Times New Roman"/>
          <w:lang w:eastAsia="ru-RU"/>
        </w:rPr>
      </w:pPr>
      <w:r w:rsidRPr="00AB2F98">
        <w:rPr>
          <w:rFonts w:eastAsia="Times New Roman"/>
          <w:lang w:eastAsia="ru-RU"/>
        </w:rPr>
        <w:t> </w:t>
      </w:r>
    </w:p>
    <w:tbl>
      <w:tblPr>
        <w:tblW w:w="11103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559"/>
        <w:gridCol w:w="1418"/>
        <w:gridCol w:w="2455"/>
      </w:tblGrid>
      <w:tr w:rsidR="00DE62DE" w:rsidRPr="002B5F1D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2B5F1D" w:rsidRDefault="00DE62DE" w:rsidP="00DE62DE">
            <w:pPr>
              <w:spacing w:after="0" w:line="240" w:lineRule="auto"/>
              <w:ind w:right="-60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B5F1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Номер статьи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2B5F1D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B5F1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2B5F1D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B5F1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 хранения документа</w:t>
            </w:r>
            <w:r w:rsidRPr="002B5F1D">
              <w:rPr>
                <w:rFonts w:eastAsia="Times New Roman"/>
                <w:color w:val="333333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2B5F1D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B5F1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 Организация системы управления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1.1. Нормативно-правовое обеспечение деятельности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Конституция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федеральные конституционные законы, федеральные законы, конституции (уставы), законы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документы к ним (постановления, доклады, заключения, аналитические справки):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Относящиеся к деятельности конкретной организации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принятия, одобрения, подписания;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  <w:r w:rsidR="00DE62DE"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br/>
              <w:t> 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Акты Президента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(указы, распоряжения), Правительства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(постановления, распоряжения), федеральных органов исполнительной власти, иных государственных органов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(постановления, распоряжения, приказы):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Относящиеся к деятельности конкретной организации - Постоянно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издания, принятия;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  <w:r w:rsidR="00DE62DE"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vertAlign w:val="superscript"/>
                <w:lang w:eastAsia="ru-RU"/>
              </w:rPr>
              <w:t>1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Срок хранения "Постоянно" означает, что указанные документы, образовавшиеся в деятельности источников комплектования государственных или муниципальных архивов, подлежат передаче на постоянное хранение в эти архивы после истечения сроков их временного хранения в организациях. Срок хранения указанных документов в организациях, не являющиеся источниками комплектования государственных или муниципальных архивов, не может быть менее десяти лет.</w:t>
            </w:r>
          </w:p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Срок хранения "До ликвидации организации" означает, что указанные документы хранятся в организации до ее ликвидации, независимо от того, является или не является эта организация источником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 хранения "</w:t>
            </w:r>
            <w:r w:rsidR="00AB2F98"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" не может быть менее одного года.</w:t>
            </w:r>
          </w:p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Срок хранения с отметкой "ЭПК" означает, что указанные документы после истечения установленного срока их хранения могут быть отобраны на постоянное хранение.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Нормативные правовые акты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(указы, постановления, распоряжения, приказы):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Относящиеся к деятельности конкретной организации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издания, принятия;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  <w:r w:rsidR="00DE62DE"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Муниципальные правовые акты (уставы, постановления, распоряжения, решения, приказы):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Относящиеся к деятельности конкретной организации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издания, принятия;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  <w:r w:rsidR="00DE62DE"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Проекты законов, иных нормативных правовых актов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; документы по их разработке и рассмотрению (доклады, заключения, пояснительные записки, справки, обоснования, предложения, листы согласования, протоколы разногласий):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Проекты федеральных конституционных, федеральных законов, нормативных правовых актов Президента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разработки, рассмотрения;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  <w:r w:rsidRPr="00AB2F98">
              <w:rPr>
                <w:rFonts w:eastAsia="Times New Roman"/>
                <w:color w:val="333333"/>
                <w:sz w:val="22"/>
                <w:szCs w:val="22"/>
                <w:vertAlign w:val="superscript"/>
                <w:lang w:eastAsia="ru-RU"/>
              </w:rPr>
              <w:t>2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6.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br/>
              <w:t> 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br/>
              <w:t> 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муниципальных правовых актов; документы (справки, доклады, заключения, предложения) по их разработке: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  <w:t> 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разработки, рассмотрения;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______________________________</w:t>
            </w:r>
          </w:p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vertAlign w:val="superscript"/>
                <w:lang w:eastAsia="ru-RU"/>
              </w:rPr>
              <w:t>2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ЭПК - Экспертно-проверочная комиссия 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(доклады, обзоры, информации, сводки, справки) по исполнению законов, иных нормативных правовых актов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муниципальных правовых актов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Документы по исполнению федеральных конституционных, федеральных законов, нормативных правовых актов Президента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- Постоянно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Правила, инструкции, регламенты, стандарты, требования, порядки, положения, классификаторы, рекомендации, кодексы (межведомственные, корпоративные):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Не указанные в отдельных статьях Перечня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После истечения срока действия договора; 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Базы данных (справочные, полнотекстовые) по локальным нормативным актам и распорядительным документам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1.2. Распорядительная деятельность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Поручения (перечни поручений) и указания Президента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Правительства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иных государственных органов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протокольные поручения палат Федерального Собрания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документы (обзоры, доклады, предложения, расчеты, обоснования, заключения, справки, переписка) по их выполнению: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подписания и у ответственного исполнителя;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Поручения (перечни поручений) и указания государственных органов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Поручения руководства организации; документы (доклады, отчеты, справки, докладные, служебные записки, заключения) по их выполнению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Протоколы, постановления, решения, стенограммы; документы (справки, доклады, проекты, заключения, информации, докладные записки, сводки, выписки) к ним: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Присланные для сведения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Рабочих групп - 5 лет ЭПК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По оперативным вопросам - 5 лет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(4) Бюллетени для голосования на общих собраниях владельцев 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ценных бумаг, участников - 5 лет, пайщиков - 15 лет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а) заседаний у Президента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заседаний палат Федерального Собрания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заседаний Правительства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заседаний органов местного самоуправления;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межведомственных комиссий по координации определенных видов деятельности, а также их рабочих групп;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совещательных (коллегиальных), исполнительных органов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контрольных, ревизионных органов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научных, экспертных, методических, консультативных органов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совещаний у руководителя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собраний трудовых коллективов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з) собраний структурных подразделений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и) общих собраний владельцев ценных бумаг, участников, пайщиков;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(4)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к) собраний, сходов граждан;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л) публичных слушаний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Приказы, распоряжения; документы (справки, сводки, информации, доклады) к ним: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Присланные для сведения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организациях, не являющихся источниками комплектования государственных или муниципальных архивов - До ликвидации организации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основной (профильной) деятельности;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 административно-хозяйственным вопросам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приказов, распоряжений; документы (докладные, служебные записки)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(доклады, отчеты, справки, переписка) о выполнении приказов, распоряжений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(постановления, решения, рекомендации, резолюции, протоколы, стенограммы)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организациях, не являющихся источниками комплектования государственных или муниципальных архивов - До ликвидации организации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проведения;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(отчеты, доклады, обзоры, переписка) 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Переписка - 5 лет ЭПК 1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1.3. Организационные основы управления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1.3.1. Создание (ликвидация) организаций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Извещения (уведомления) страхователей о регистрации (снятия с учета) во внебюджетных фондах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(договоры, акты, сведения) о реорганизации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протоколы, уведомления, решения, акты, справки, выписки) о ликвидации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Уставы, положения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Учредительные договоры общества, хозяйственного товарищества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(правила, стандарты, протоколы, решения, реестр членов, положения, требования, сведения) о деятельности саморегулируемых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учредительных собраний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участников (учредителей)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 о структурных подразделениях, филиалах и представительствах организации: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структурных подразделениях, филиалах и представительствах организации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 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Доверенности, выданные руководителем организации (лицом, имеющим право действовать от имени организации без доверенности), на представление интересов организации, сведения об отзыве выданных доверенностей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доверенности или ее отзыва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изображения и описания, заявления, уведомления, решения) о разработке и регистрации символики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Структура организации, пояснительные записки к ней: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Перечни, реестры, списки подведомственных, подконтрольных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Штатные расписания организации, изменения к ним: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организациях, не являющихся источниками комплектования государственных или муниципальных архивов - До ликвидации организации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штатных расписаний; документы (справки, предложения, заключения, переписка) по их разработке и изменению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vertAlign w:val="superscript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Номенклатура должностей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утверждения новой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1131">
              <w:rPr>
                <w:rFonts w:eastAsia="Times New Roman"/>
                <w:color w:val="333333"/>
                <w:sz w:val="22"/>
                <w:szCs w:val="22"/>
                <w:highlight w:val="yellow"/>
                <w:lang w:eastAsia="ru-RU"/>
              </w:rPr>
              <w:t>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______________________________ </w:t>
            </w:r>
          </w:p>
          <w:p w:rsidR="00DE62DE" w:rsidRPr="00AB2F98" w:rsidRDefault="00DE62DE" w:rsidP="00DE62DE">
            <w:pPr>
              <w:spacing w:after="0" w:line="240" w:lineRule="auto"/>
              <w:ind w:firstLine="570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vertAlign w:val="superscript"/>
                <w:lang w:eastAsia="ru-RU"/>
              </w:rPr>
              <w:t>3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 Здесь и далее срок хранения 50/75 лет означает, что указанные документы, законченные делопроизводством до 1 января 2003 года, хранятся 75 лет; законченные делопроизводством после 1 января 2003 года, хранятся 50 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 (статья 22.1 Федерального закона </w:t>
            </w:r>
            <w:hyperlink r:id="rId9" w:tgtFrame="contents" w:history="1">
              <w:r w:rsidRPr="00AB2F98">
                <w:rPr>
                  <w:rFonts w:eastAsia="Times New Roman"/>
                  <w:color w:val="1C1CD6"/>
                  <w:sz w:val="22"/>
                  <w:szCs w:val="22"/>
                  <w:u w:val="single"/>
                  <w:lang w:eastAsia="ru-RU"/>
                </w:rPr>
                <w:t>№ 125-ФЗ от 22 октября 2004 г</w:t>
              </w:r>
            </w:hyperlink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. "Об архивном деле 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").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1.3.2. Организация деятельности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Государственные реестры, регистры; документы по их ведению (1)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Не указанные в отдельных статьях Перечня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(2) Состав сведений и документов, содержащихся в государственных реестрах, регистрах определяется федеральными законами,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 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оперативным вопросам - 5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докладные, служебные записки, предложения к повестке дня, извещения, приглашения, переписка) 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(программы, доклады, выступления, сообщения, повестки дня, фото-, фоно-, видеодокументы) заседаний коллегиальных органов организации, общих собраний владельцев ценных бумаг, участников (учредителей), пайщиков, съездов, 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конгрессов, пленумов, конференций, "круглых столов", совещаний, торжественных приемов, встреч: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проведения;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(положения, программы, 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(исторические и тематические справки, обзоры, подборки публикаций в средствах массовой информации, фото-, фоно-, видеодокументы) по истории организации и ее подразделений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видов лицензируемой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 о лицензировании отдельных видов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 и прилагаемые к ним документы, приказы (распоряжения) (2), копии лицензий, уведомлений, актов проверок, предписаний, протоколов, постановлений, выписки из решений суда, переписка) по лицензированию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прекращения действия лицензии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Приказы (распоряжения) лицензирующего органа о предоставлении лицензии, о переоформлении лицензии, о продлении срока действия лицензии, о приостановлении, возобновлении и прекращении действия лицензии, получении дубликата лицензии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Лицензии и приложения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прекращения действия лицензии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лицензий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 определяется федеральными законами,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Документы, подтверждающие прием заявлений и выдачу лицензий: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прекращения действия лицензии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журналы регистрации заявлений, выдачи лицензий;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расписки о получении лицензий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анкеты, справки, выписки из реестров аккредитованных лиц (аттестат аккредитации), копии учредительных документов, документы о проверке соответствия определенному виду деятельности, отчеты, копии лицензий, представления, протоколы, решения, акты проверки, экспертные заключения, уведомления, опись документов, переписка) по аккредитации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прекращения действия аккредитации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Протоколы, решения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 и прилагаемые к ним документы (1), утвержденные в области аккредитации), решения по аккредитации юридических лиц, индивидуальных предпринимателей в национальной системе аккредитации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документов определяется федеральными законами,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После утверждения решения об аккредитации, подтверждении компетентности аккредитованного лица, сокращении или расширении области аккредитации, изменении места осуществления деятельности аккредитованного лица, приостановления, прекращения или возобновления действия аккредитации аккредитованного лица; утвержденные области аккредитации - после прекращения действия аккредитации; решения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свидетельств об аккредитации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федеральными законами,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Свидетельства о государственной аккредитации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книги регистрации, базы данных выдачи свидетельств об аккредитации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(изображение знака соответствия, уведомления, доказательные материалы, протоколы исследований, испытаний, экспертные заключения, решения, переписка) по сертификации продукции (работ,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сертификата; протоколы, решения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64.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Сертификат соответствия, декларация о соответствии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сертификата, декларации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Договоры, заявки, доказательные материалы, декларации на оказание услуг по добровольному подтверждению соответствия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декларации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сертификатов соответствия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федеральными законами и 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нормативными правовыми актами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и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(предложения, обоснования, расчеты) о совершенствовании деятельности аппарата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(анализы, сводные таблицы и графики (мониторинги) движения цен на рынке, справки, доклады, сведения, анкеты, тесты, интервью) о маркетинговых исследованиях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(буклеты, плакаты, фото-, фоно-, видеодокументы, информации, заявки, переписка) по рекламной деятельности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основной (профильной) деятельности (1)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Не указанная в отдельных статьях Перечня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1.3.3. Управление и распоряжение имуществом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Прогнозные планы (программы) приватизации государственного и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Присланные для сведения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Предложения федеральных органов исполнительной власти, органов государственной власти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органов местного самоуправления, федеральных государственных унитарных предприятий, а также акционерных обществ, акции которых находятся в федеральной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(распоряжения, перечни, акты) по передаче имущества из федеральной собственности в собственность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или муниципальную собственность, из собственности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(постановления, ходатайства, соглашения об изъятии, перечни имущества, акты, расчеты, выписки из реестра) об отчуждении (изъятии) недвижимого имущества для государственных и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76.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(распоряжения, планы внешнего управления, списки, договоры купли-продажи, отчеты об оценке имущества) 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Движимого имущества - 5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 планирования, отчеты, передаточный акт, акт инвентаризации, документы о праве собственности на объекты недвижимого имущества, промежуточный бухгалтерский баланс, отчет об оценке объекта) о приватизации государственного,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ликвидации организаций, являющихся источниками комплектования государственных или муниципальных архивов, подлежат обязательной передаче на постоянное хранение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(отчеты, информации) о результатах приватизации федерального имущества, имущества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(предписания, акты, исковые заявления, переписка) о порядке истребования имущества из чужого незаконного владения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акты, сведения, решения) о возврате конфискованного имущества реабилитированных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Соглашения об определении долей в праве собственности и документы (списки имущества, акты)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разделе долевой совместной собственности юридических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балансы, заключения, решения) 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установления прав на движимое и недвижимое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земельным вопросам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купли-продажи земельных участков, зданий, строений, сооружений, помещений и документы (акты, документы по экспертизе, 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органах и организациях, выдающих разрешения на строительство - 15 лет после ввода объекта в эксплуатацию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купли-продажи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акты оценки, переписка) по продаже 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продажи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дарения (пожертвования) недвижимого и 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доверительного управления имуществом, в том числе ценными бумагами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92.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о передаче имущества в доверительное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(контракты) аренды (субаренды), безвозмездного пользования имуществом; документы (правоустанавливающие документы, акты приема-передачи, технические паспорта, планы, кадастровые планы, схемы, расчеты) к ним: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 договорам (контрактам) аренды (субаренды), безвозмездного пользования государственным, муниципальным имуществом - 15 лет ЭПК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Объектов культурного наследия - Постоянно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(4) Природоохранных зон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недвижимого имущества;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 (2) (3) (4)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движимого имущества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лизинга имущества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залога; документы (заявки, правоустанавливающие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мены: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недвижимого имущества;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движимого имущества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проката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поручения: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недвижимому имуществу;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 движимому имуществу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Паспорта сделок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кредитных организациях - 15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Директивы о порядке голосования представителю интересов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Поручения 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продажи акций дочерних и зависимых обществ или их ликвидации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Доверенности (копии доверенностей) на участие в общем собрании владельцев ценных бумаг, участников (учредителей), пайщиков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Доверенности на участие в органах управления (советах директоров, годовых и внеочередных собраниях акционеров) акционерных обществ, акции которых находятся в государственной,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или отзыва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купли-продажи ценных бумаг, долей, паев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(сертификаты, передаточные акты, выписки по счету депо, реестродержателей), подтверждающие переход прав собственности на ценные бумаги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(добровольное предложение, обязательное предложение, конкурирующее предложение, уведомление, требование, банковские гарантии, копии отчета оценщика, рекомендации, информации, заявления, отчеты о принятии предложения, решения, требования, предписания), касающиеся приобретения более 30 процентов акций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операциям с акциями и другими ценными бумагами, находящимися в государственной и муниципальной собственности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(решения, заявления, отзывы, уведомления, отчеты, списки владельцев ценных бумаг, сообщения, требования, информации, заключения), касающиеся приобретения и выкупа размещенных ценных бумаг их эмитентом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(подписные листы, заявки на приобретение акций, листы подтверждения, карточки учета доходов акционеров) по акционированию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Акционерные соглашения, договоры об управлении и распоряжении акциями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Решение о выпуске (дополнительном выпуске) ценных бумаг, проспект ценных бумаг (основная, дополнительная часть), программа облигаций и условия выпуска (дополнительного выпуска) облигаций в рамках программы облигаций, а также 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 xml:space="preserve">изменения в них; отчет об итогах выпуска (дополнительного выпуска) ценных бумаг, уведомление об итогах выпуска (дополнительного выпуска) ценных бумаг, заявление для получения разрешения на размещение и (или) организацию обращения эмиссионных ценных бумаг российских эмитентов за пределами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; уведомления Центрального банка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о государственной регистрации (регистрации) на этапах эмиссии, о квалификации финансовых инструментов, уведомление о выдаче разрешения на размещение и (или) обращение ценных бумаг за пределами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уведомление 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эмитента: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Присланные для сведения отчеты эмитента за 1 квартал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отсутствии отчета за 1 квартал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за 1 квартал (отчетного) года;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за 2 - 4 кварталы (отчетного) года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лиц, осуществляющих права по ценным бумагам и списки владельцев ценных бумаг, составленные в целях исполнения обязанностей, предусмотренных федеральными законами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аффилированных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владельцев ценных бумаг (1), выписки из реестров владельцев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(2) (3)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федеральными законами и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На постоянное хранение в государственные, муниципальные архивы передаются в случае прекращения ведения или ликвидации организации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Выписки из реестра - 5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на ведение реестра владельцев ценных бумаг, акт приема-передачи документов и информации реестра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Лицевые счета владельцев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перехода права собственности на ценные бумаги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Ведомости на выплату дивидендов (доходов) по ценным бумагам и иных выплат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начислении (выплате) дивидендов (доходов) по ценным бумагам и иных выплат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выплаты компенсации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книги учета выдачи выписок из реестров владельцев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Сообщения 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При возникновении споров, разногласий 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сохраняется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инсайдеров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(требования, запросы), являющиеся основанием для передачи списков инсайдеров организаторам 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даты направления или получения требования, запроса организатора торговли о передаче списка инсайдеров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Информационные сообщения, подтверждающие передачу списков инсайдеров организаторам 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даты передачи организатору торговли списка инсайдеров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(запросы, требования, уведомления, предписания) Центрального банка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даты направления или получения запроса о предоставлении инсайдерами информации о совершенных ими операциях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Уведомления о совершенных инсайдерами операциях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даты предоставления инсайдерами информации о совершенных ими операциях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Локальные нормативные акты (приказы, решения), 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условия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(базы данных) учета уведомлений о включении лиц в список инсайдеров или исключении из него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(базы данных) учета, регистрации уведомлений, запросов и предоставления инсайдерской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истечении срока действия исключительного права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регистрации договоров (контрактов) аренды (субаренды), безвозмездного пользования: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договорам (контрактам) аренды (субаренды), безвозмездного пользования государственным, муниципальным имуществом - 15 лет ЭПК.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Объектов культурного наследия - Постоянно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Природоохранных зон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недвижимого имущества;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 (2)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движимого имущества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регистрации договоров: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об отчуждении (приобретении) недвижимого имущества;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покупок, продаж движимого имущества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1.4. Контроль и надзор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акты) проверок подведомственных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в проверяющей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проверяемой организации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акты) проверок структурных подразделений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(уведомления, проверочные листы, списки контрольных вопросов, задания, запросы, справки, акты, заключения, отчеты, представления, предписания, постановления, предупреждения, предостережения, пояснения, возражения) проверок, ревизий, проводимых органами государственного контроля (надзора), в том числе без взаимодействия с объектом надзора: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в проверяющей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проверяемой организации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(отчеты, заключения) по результатам экспертно-аналитических мероприятий, проводимых Счетной палатой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контрольно-счетными органами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муниципальных образований: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в проверяющей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проверяемой организации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 Копии (2)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принятия решения по делу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Подлинники хранятся в судебных делах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Мировые соглашения. Копии (2)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полного исполнения условий мирового соглашения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Подлинники хранятся в судебных делах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акты, объяснения, ходатайства, предупреждения, определения, постановления)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(акты, протоколы, постановления, определения, заключения, запросы, заявления, переписка) административных комиссий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Административно-технических инспекций - 3 года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планы мероприятий, протоколы разногласий, переписка) по результатам проверок, ревизий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Обращения (заявления, жалобы) по результатам проверок, ревизий и документы (решения, переписка) по их рассмотрению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 результатам выездных, камеральных налоговых проверок - 10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Парламентские запросы, обращения (запросы) членов Совета Федерации и депутатов Государственной Думы Федерального Собрания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; депутатов законодательных (представительных) органов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; депутатов представительных органов местного самоуправления; документы (справки, сведения, переписка) по их рассмотрению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Парламентские запросы, документы по их исполнению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(обзоры, аналитические справки, сведения) о рассмотрении обращений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1.5. Документационное обеспечение управления и организация хранения документов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документов с указанием сроков хранения: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Типовые и примерные номенклатуры дел: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Номенклатуры дел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Структурных подразделений - 3 года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Альбомы, сборники унифицированных форм документов (шаблонов) 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(докладные, служебные записки, сведения, справки, сводки, отчеты) об организации и результатах контроля исполнения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снятия с контроля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адресов обязательной рассылки документов (списки постоянных корреспондентов)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нарушении правил пересылки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Отчеты, акты об использовании, уничтожении бланков строгой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Книги, журналы учета и выдачи печатей, штампов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об уничтожении печатей и штампов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книг, журналов оттисков и слепков печатей, штампов - До ликвидации организации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165.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(перечни сведений, инструкции, положения) о порядке работы со сведениями конфиденциального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Соглашения (договоры) о неразглашении информации ограниченного доступа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неразглашения информации, установленного соглашением (договором)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Расписки (обязательства) о неразглашении информации ограниченного доступа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прекращения трудовых отношений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Отчеты, справки об объеме документооборота 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</w:t>
            </w:r>
            <w:proofErr w:type="gram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 выделения</w:t>
            </w:r>
            <w:proofErr w:type="gram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дел и документов к уничтожению, об утрате и неисправимых повреждениях,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государственные, муниципальные архивы передаются при ликвидации организации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Акты об утрате и утрате и неисправимых повреждениях, составленные на документы временного (до 10 лет) срока хранения - 5 лет после утверждения описей дел постоянного хранения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Учетные документы (книги учета поступления и выбытия документов, списки фондов, листы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государственные, муниципальные архивы передаются при ликвидации организации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Описи дел организации (1):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Структурных подразделений - 3 года после утверждения (согласования) описей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(2) Неутвержденные, несогласованные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После уничтожения дел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постоянного хранения;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 личному составу;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временного (свыше 10 лет) хранения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Топографические указатели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возвращения документов. Для актов выдачи дел во временное пользование другим организациям - 5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возвращения документов. При невозвращении - протоколы, акты включаются в дело фонда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учета выдачи архивных справок, копий, выписок из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178.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179.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Договоры о сроках и условиях депозитарного хранения документов Архивного фонда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использования указанных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делопроизводства и архивного 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 ежегодно оплачиваемых отпусках, отпусках в связи с обучением, дежурствах, не связанных с основной (профильной) деятельностью - 5 лет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распорядительных документов по основной (профильной) деятельности;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распорядительных документов по личному составу;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ЭПК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распорядительных документов по административно-хозяйственной деятельности;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поступающих и отправляемых документов;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исполнения документов;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обращений граждан;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телеграмм, телефонограмм;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з) фото-, фоно-, видеодокументов;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и) заявок, заказов, нарядов на копирование и перевод в электронную форму документов;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к) использования съемных носителей информации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(журналы, реестры, базы данных)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уничтожения бланков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После возвращения всех дел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приема посетителей;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рассылки документов;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бланков строгой отчетности;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копировальных работ;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выдачи дел во временное пользование;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регистрации показаний приборов измерения температуры и влажности;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учета отсутствия (повреждения) документов (приложений) в почтовых отправлениях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1.6. Информатизация деятельности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информатизации: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государственных органов, органов управления государственными внебюджетными фондами, органов местного самоуправления;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организаций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186.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Базы данных информационных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 соответствии со сроком хранения данных, помещенных в базу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Договоры, соглашения между участниками информационного взаимодействия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189.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465E3A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2. ПЛАНИРОВАНИЕ ДЕЯТЕЛЬНОСТИ</w:t>
            </w:r>
          </w:p>
        </w:tc>
      </w:tr>
      <w:tr w:rsidR="00DE62DE" w:rsidRPr="00465E3A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2.1. Прогнозирование, перспективное планирование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Прогнозы, стратегии, концепции развития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муниципального образования, отрасли,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Государственные программы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государственные программы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муниципальные программы: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прогнозов, стратегий, концепций развития, государственных, муниципальных программ; документы (справки, расчеты, таблицы, сведения, переписка) по их разработке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Перспективные планы, планы мероприятий ("дорожные карты")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перспективных планов, планов мероприятий ("дорожных карт"); документы (справки, сведения, расчеты, таблицы)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Финансово-экономические и конъюнктурные обзоры: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2.2. Текущее планирование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социально-экономического развития муниципального образования, организации: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Бизнес-планы; документы (обоснования, заключения, справки, расчеты)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Годовые планы, государственные, муниципальные задания и изменения к ним: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199.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Проекты годовых планов, государственных и муниципальных заданий; документы (справки, заключения, сведения)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мероприятий по отдельным направлениям деятельности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Оперативные планы (квартальные, месячные) работы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Годовые планы работы структурных подразделений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 планов организации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Индивидуальные планы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сведения, графики, таблицы) о разработке планов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планирования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2.3. Отчетность о выполнении планов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Отчеты, доклады о ходе реализации и оценке эффективности государственных программ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государственных программ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(информации, сведения, таблицы, сводки, данные, переписка) о ходе реализации государственных программ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государственных программ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(доклады, отчеты) об итогах социально-экономического развития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муниципального образования,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выполнении планов, государственных и муниципальных заданий: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полугодовых, квартальных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филиалов, представительств, дочерних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полугодовые, квартальные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Отчеты, доклады руководителей организаций о деятельности федеральных государственных унитарных предприятий и представителей интересов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 органах управления открытых акционерных обществ, государственных унитарных предприятий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муниципальных унитарных предприятий: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с иной периодичностью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215.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Годовые отчеты о работе структурных подразделений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 отчетов организации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Индивидуальные отчеты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2.4. Осуществление закупок товаров, работ, услуг для государственных и муниципальных нужд; осуществление закупок отдельными видами юридических лиц; получение грантов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Планы-графики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проведения конкурса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(извещения, приглашения о проведении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(извещения, положения, протоколы) о закупках отдельными видами юридических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контракта, прекращения обязательств по контракту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Контракты (договоры) о закупках отдельными видами юридических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контракта (договора), прекращения обязательств по контракту (договору)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(1):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федеральными законами и иными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закупок, осуществленных без заключения государственного или муниципального контракта;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б) жалоб, </w:t>
            </w:r>
            <w:proofErr w:type="gram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плановых и внеплановых проверок</w:t>
            </w:r>
            <w:proofErr w:type="gram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принятых по ним решений и выданных предписаний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осуществлению закупок для нужд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230.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 об экспертных советах, конкурсных комиссиях по грантам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грантов, субсидий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проведении конкурсов на получение грантов, субсидий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учета заявок об участии в конкурсах на получение грантов, субсидий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2.5. Ценообразование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Прейскуранты (прайс-листы), ценники на товары, работы и услуги: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Дела 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 области государственного регулирования цен (тарифов), органами местного самоуправления (1)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документов дела определяется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даты окончания периода регулирования, в том числе долгосрочного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Справки, расчеты по прогнозированию цен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обоснования, заключения, нормативные индикаторы, калькуляции) о разработке, применении цен, тарифов и их корректировке: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Соглашения (контракты, договоры) 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соглашения (контракта, договора); после прекращения обязательств по соглашению (контракту, договору)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согласования цен на товары, работы и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ценообразования, применения и изменения тарифов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3. ФИНАНСИРОВАНИЕ, КРЕДИТОВАНИЕ ДЕЯТЕЛЬНОСТИ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Бюджетная классификация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новой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Сводная бюджетная роспись, бюджетная роспись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Бюджетная смета, план финансово-хозяйственной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 месту разработки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Лимиты бюджетных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Финансовые планы по доходам и расходам организации: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сводные годовые, 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квартальные;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месячные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Кассовые планы: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квартальные;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месячные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по кассовым планам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(уведомления, справки, реестры, заявки, извещения) по поступлениям в бюджеты бюджетной системы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сведения, расчеты, расходные расписания, заявки, переписка) о финансовом обеспечении всех направлений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банковского счета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Финансовые оперативные отчеты и сведения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261.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полного исполнения обязательства, списания задолженности по обязательству или его прекращению по иным основаниям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условием о залоге имущества - 10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сведения, справки, переписка) о взаимных расчетах и перерасчетах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проведения взаиморасчетов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(отчеты, счета, справки, переписка) по вопросам благотворительной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Отчеты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погашения дебиторской и кредиторской задолженности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4. Учет и отчетность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4.1. Бухгалтерский учет и отчетность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годовая;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промежуточная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269.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Бюджетная отчетность (балансы, отчеты, пояснительные записки):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годовая;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промежуточная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акты, заключения) о рассмотрении и утверждении бухгалтерской (финансовой)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(аналитические таблицы) о выполнении планов финансово-хозяйственной деятельности организации: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других организациях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сводные годовые, 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квартальные;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месячные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об исполнении смет: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сводные 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квартальные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по субсидиям, субвенциям, полученным из бюджетов: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полугодовые, квартальные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Консолидированная финансовая отчетность (финансовая отчетность не создающих группу организаций, составленная по международным стандартам финансовой отчетности):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годовая;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промежуточная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проведения проверки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279.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увольнения (смены) материально ответственного лица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Образцы подписей материально ответственных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смены материально ответственного лица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 и (или)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проведения внешней проверки качества работы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(контракты, соглашения) оказания аудиторских услуг: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После истечения срока действия договора; после 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прекращения обязательств по договору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условии проведения внешней проверки качества работы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а) у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аудируемого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лица;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у аудиторской организации, индивидуального аудитора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(2)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Аудиторские заключения по бухгалтерской (финансовой) отчетности: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Для годовой бухгалтерской (финансовой) отчетности - Постоянно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условии проведения внешней проверки качества работы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а) у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аудируемого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лица;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у аудиторской организации, индивидуального аудитора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акты, переписка) о недостачах, присвоениях, растратах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возмещения ущерба; в случае возбуждения уголовных дел хранятся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наложенных на организацию взысканиях, штрафах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289.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бухгалтерского учета, бюджетного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ценных бумаг;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расчетов с организациями;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кассовых документов (счетов, платежных поручений);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депонентов по депозитным суммам;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доверенностей;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договоров, контрактов, соглашений с юридическими и физическими лицами;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расчетов с подотчетными лицами;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з) исполнительных листов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4.2. Учет оплаты труда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Утвержденные фонды заработной платы: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 об оплате труда и премировании работников: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6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лицевых счетов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Лицевые счета работников, карточки-справки по заработной плате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выплате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299.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исполнения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решения, справки, переписка) 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учета депонированной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4.3. Налогообложение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снятия задолженности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Справка об исполнении обязанности по уплате налогов, сборов, страховых взносов, пени и налоговых санкций, справка о состоянии расчетов с бюджетом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(таблицы, акты, расчеты) по дополнительному налогообложению за определенный период времени из-за пересмотра налогового законодательства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для расчета земельного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Расчеты по страховым взносам: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квартальные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309.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лицевых счетов или ведомостей начисления заработной платы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8C52D3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Налоговые </w:t>
            </w:r>
            <w:proofErr w:type="spellStart"/>
            <w:r w:rsidR="008C52D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стра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ции</w:t>
            </w:r>
            <w:proofErr w:type="spell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индивидуальных предпринимателей по 2002 год включительно - 75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311.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(расчеты сумм налога, сообщения о невозможности удержать налог, регистры налогового учета) по налогу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лицевых счетов или ведомостей начисления заработной платы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лицевых счетов или ведомостей начисления заработной платы - 50/75 лет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налоговых органах не менее 3 лет после получения свидетельства о смерти налогоплательщика либо документа о признании налогоплательщика умершим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заявления, переписка) о реструктуризации задолженности по страховым взносам и налоговой задолженности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Счета-фактуры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карточки, базы данных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сумм доходов и налога на доходы работников;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4.4. Учет имущества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проведения проверки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Инвентаризационные описи ликвидационных комиссий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выбытия основных средств и нематериальных активов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Акты списания федерального недвижимого имущества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324.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независимых оценщиков об оценочной стоимости имущества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выбытия недвижимого имущества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расходах; о предоставлении мест в гостиницах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карточки, базы данных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основных средств (зданий, сооружений), обязательств;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материальных ценностей и иного имущества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Похозяйственные книги и алфавитные книги хозяйств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4.5. Статистический учет и отчетность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официальной статистической методологии (концепции, методики, рекомендации, положения, указания, программы статистического наблюдения, заключения о научной экспертизе, заключения о научно-исследовательской работе, алгоритмы)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Формы федерального статистического наблюдения и указания по их заполнению (и изменения к ним), сбор и обработка данных по которым осуществляются субъектами официального статистического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Федеральный план статистических работ и изменения к нему: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(итоговые (выходные) разработочные таблицы, доклады, сборники, статистические ежегодники, бюллетени, обзоры),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годовых - Постоянно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отсутствии годовых, полугодовых и квартальных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годовые и с большей периодичностью, единовременные;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полугодовые, квартальные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месячные;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декадные, еженедельные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(информации, докладные записки, уведомления, извещения, заявления) к первичным статистическим данным отчитывающегося респондента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(доклады, обзоры, аналитические записки, списки, справки), 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, иного государственного органа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органа местного самоуправления, государственной организации, а также иной организации: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465E3A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465E3A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5. Международное сотрудничество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Уставы, положения, договоры (соглашения) об учреждении международных организаций (объединений), участником которых является организация. Копии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Подлинники хранятся в международных организациях, организациях-учредителях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уведомления, справки) о вступлении в международные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Уведомления - До ликвидации организации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(договоры, соглашения) о сотрудничестве с международными и иностранными организациями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(проекты, предложения, заключения, обоснования, переписка) о подготовке договоров о международном сотрудничестве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меморандумы, решения, постановления, резолюции, декларации, рекомендации) международных организаций, участником которых является организация: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относящиеся к деятельности;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присланные для сведения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Планы, программы международного сотрудничества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реализации планов, программ международного сотрудничества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Заключения, отзывы на проекты документов, подготовленных международными организациями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отчеты, доклады, справки, сведения, записи бесед)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349.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(программы, планы проведения встреч, графики, заявки, приглашения, переписка) об организации приема и пребывания иностранных и российских представителей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комиссий и групп по международному сотрудничеству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международного сотрудничества: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с международными и иностранными организациями;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с органами государственной власти и иными государственными органами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(программы, планы, переписка) об обучении, стажировке иностранных специалистов 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российских специалистов за рубежом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Договоры (контракты) и документы к ним об обучении, стажировке иностранных специалистов 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российских специалистов за рубежом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завершения обучения, стажировки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(заявки) по оформлению и получению виз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о выделении к уничтожению служебных заграничных паспортов с истекшими сроками 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 учета (базы данных) приема иностранных граждан, лиц без гражданства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6. Информационная деятельность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Порядок 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359.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(информации, сведения, справки), подготовленные для размещения на сайте организации в сети "Интернет"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(информации, пресс-релизы, тексты выступлений, 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Информационно-аналитические документы (обзоры, доклады, справки, отчеты)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переписка) о потребности в научно-информационных материалах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Переводы информационных статей из иностранных изданий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проверки справочно-информационного фонда организации, библиотеки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следующей проверки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следующей проверки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Для включенных в Национальный библиотечный фонд, комплектуемых на основе системы обязательного экземпляра и книжных памятников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366.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(журналы, базы данных, картотеки, каталоги) учета материалов справочно-информационного фонда, библиотеки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справочно-информационного фонда, библиотеки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367</w:t>
            </w:r>
            <w:r w:rsidR="009F478F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(планы-проспекты, оригинал-макеты, рецензии, отзывы) по подготовке информационных изданий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(тематико-экспозиционные планы, планы размещения экспонатов, схемы, описания, характеристики экспонатов, списки участников, доклады, справки, отзывы, отчеты, информации, переписка) о подготовке и проведении выставок, ярмарок, презентаций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369.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(дипломы, свидетельства, аттестаты, грамоты, благодарности) о награждении организации за участие в выставках, ярмарках, презентациях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отзывов о выставках, ярмарках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(планы, предложения, презентации, тексты выступлений, сообщений, интервью, пресс-релизы, фото-, фоно-, видеодокументы, переписка) о взаимодействии со средствами массовой информации и общественностью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проведения экскурсий по выставкам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7. Трудовые отношения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7.1. Организация труда и служебной деятельности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(сведения, справки) о численности, составе и движении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(сведения, информации) о квотировании рабочих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Предложения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Заявки о потребности в привлечении иностранных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379.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профессий: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Положения, уставы о дисциплине: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381.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Правила внутреннего трудового распорядка организации, служебный распорядок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 учета работников, совмещающих профессии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Соглашения генеральные, межрегиональные, региональные,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Коллективные договоры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Присланные для сведения -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ДМН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выполнении коллективных договоров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заключении коллективного договора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389.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коллективного договора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принятия решения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(предложения, решения, извещения) о проведении забастовки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вредных и опасных условиях труда - 50/75 лет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7.2. Нормирование и оплата труда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Типовые нормы труда (межотраслевые, отраслевые, профессиональные):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Локальные нормативные правовые акты, предусматривающие введение, замену, пересмотр норм труда: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Тарифные ставки, оклады (должностные оклады), тарифные сетки и тарифные коэффициенты: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Нормы труда (нормы выработки, нормы времени, нормативы численности, нормы обслуживания и другие нормы)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утверждения разработанных норм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399.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вредных и опасных условиях труда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CB35E2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CB35E2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(расчеты, справки, списки) о премировании работников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7.3. Охрана труда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вредных и опасных условиях труда - 50/75 лет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проведения;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сертификата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409.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закрытия наряда-допуска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производственных травмах, авариях и несчастных случаях на производстве - 45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 (2)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закрытия нарядов-допусков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производственных травмах, авариях и несчастных случаях на производстве - 45 лет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Гигиенические требования к условиям труда инвалидов: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результатов обучения по охране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книги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инструктажа по охране труда (вводного и на рабочем месте);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профилактических работ по охране труда, проверки знаний по охране труда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AB2F98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Связанных с крупным материальным ущербом и человеческими жертвами - Постоянно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составления;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других документов о вредных и опасных условиях труда акты, заключения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охраны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8. Кадровое обеспечение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8.1. Прием, перевод на другую работу (перемещение), увольнение работников, кадровый учет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 должностей федеральной государственной гражданской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законами и иными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Реестр должностей государственной гражданской службы субъекта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законами 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. Хранятся в организации, исполняющей функцию ведения реестров, передается на постоянное 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Реестры федеральных государственных служащих, государственных служащих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и муниципальных служащих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Состав сведений и документов, содержащихся в реестрах, определяется законами и нормативными правовыми актами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Об отпусках, командировках работников с вредными и (или) опасными условиями труда - 50/75 лет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а) 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анкетно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-биографических данных, отпусках по уходу за ребенком, отпусках без сохранения заработной платы;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ЭПК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о служебных проверках;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о направлении в командировку работников;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о дисциплинарных взысканиях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Уведомления, предупреждения, работников(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ам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) работодателем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конкурсных комиссий по замещению вакантных должностей и включению в кадровый резерв: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решения конкурсных комиссий по итогам конкурса на замещение вакантных должностей;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конкурсные бюллетени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претендентов на замещение вакантной должности, не допущенных к участию в конкурсе и не прошедших конкурсный отбор;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лиц, не принятых на работу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(положения, инструкции) об обработке персональных данных: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Типовые должностные регламенты (инструкции), профиль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Личные дела руководителей и работников организаций (1)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Виды документов, входящих в состав личных дел государственных и муниципальных служащих определяются законодательством </w:t>
            </w:r>
            <w:r w:rsid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 иных работников - локальными нормативными актами организации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Характеристики, справки об объективных сведениях на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Листы собеседования,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стажировочные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листы водителей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востребования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Невостребованные работниками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 трудовой деятельности и трудовом стаже работника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работников о командировках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Графики отпусков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(характеристики, докладные записки, справки, переписка), связанные с применением дисциплинарных взысканий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приема, перевода на другую работу (перемещения), увольнения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характеристики, представления, переписка) 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458.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снятия с учета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459.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Кодексы профессиональной этики: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соблюдении кодексов профессиональной этики; пояснительные записки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членов руководящих и исполнительных органов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ветеранов и участников Великой Отечественной войны и других военных действий;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работников, прошедших аттестацию;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кандидатов на выдвижение по должности;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совмещающих работу с получением образования;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работников, вышедших на пенсию, ушедших в отставку;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з) лиц, выезжающих за границу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приема, перевода на другую работу (перемещения), увольнения работников;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CB35E2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E31D83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личных дел, личных карточек, трудовых договоров (служебных контрактов);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CB35E2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учета движения трудовых книжек и вкладышей в них;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CB35E2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бланков трудовых книжек и вкладыша в нее;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выдачи справок о заработной плате, стаже, месте работы;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лиц, подлежащих воинскому учету;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отпусков;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з) прихода и ухода работников, местных командировок;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и) регистрации прибытия и выезда сотрудников и членов их семей, направленных в загранпредставительства и учреждения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международные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к) выдачи служебных заграничных паспортов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8.2. Противодействие коррупции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467.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(акты, заключения, возражения, пояснения) проверок соблюдения государственными и муниципальными служащими положений законодательства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469.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(служебные, объяснительные записки, заключения, протоколы, заявления)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справки, служебные записки), 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Уведомления работодателя работниками: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о намерении выполнять иную оплачиваемую работу государственными гражданскими и муниципальными служащими;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регистрации: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уведомлений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уведомлений о намерении выполнять иную оплачиваемую работу государственными и муниципальными служащими;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служебных проверок государственных и муниципальных служащих;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е) протоколов комиссии по соблюдению требований к служебному поведению государственных и муниципальных служащих, урегулированию конфликта интересов;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474.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8.3. 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Квалификационные требования, профессиональные стандарты: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Типовые дополнительные профессиональные программы: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Программы повышения квалификации и программы профессиональной переподготовки: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Учебные планы,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479.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Учебно-методические пособия по повышению квалификации и профессиональной переподготовке: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Курсовые и контрольные работы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повышения квалификации работников и профессиональной переподготовки работников: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(тесты, анкеты, вопросники) по определению (оценке) профессиональных и личностных качеств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заседаний, постановления аттестационных, квалификационных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Заявления о несогласии с постановлениями аттестационных, квалификационных комиссий; документы (справки, заключения) об их рассмотрении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(списки, ведомости) по аттестации и квалификационным экзаменам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488.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свидетельства о квалификации и приложения к нему, заключения о прохождении профессионального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489.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Графики проведения аттестации, квалификационных экзаменов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об образовании на обучение по дополнительным профессиональным программам, ученические договоры, договоры о проведении независимой оценки квалификации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(расписания, планы, графики) о проведении занятий, консультаций, итоговой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(представления, списки, характеристики, справки) о начислении стипендий обучающимся работникам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программы, графики, планы, отчеты, отзывы, списки, характеристики) об организации и проведении практики и стажировки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499.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8.4. Награждение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случае принятия решения об отказе - 5 лет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О представлении к награждению ведомственными наградами, присвоении ведомственных почетных званий, присуждении ведомственных премий - 10 лет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в награждающих организациях;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представляющих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вручения (передачи) государственных, муниципальных и ведомственных наград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вручения (передачи) государственных, муниципальных и ведомственных наград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503.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(ходатайства, уведомления, решения) 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(ходатайства, заявления, справки)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(представления, ходатайства, характеристики, биографии, выписки из решений, постановлений, приказов) о занесении на Доску почета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Книга почета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9. Материально-техническое обеспечение деятельности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(реестры) поставщиков (подрядчиков, исполнителей) и покупателей (заказчиков)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(сводные ведомости, таблицы, расчеты) о потребности в материалах (сырье), оборудовании,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заказы, графики отгрузки, диспетчерские журналы, записи поручений, сведения) о поставке материалов (сырья), оборудования и другой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Комплектовочные ведомости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Таможенные декларации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Гарантийные талоны на продукцию, технику, оборудование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гарантии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докладные и служебные записки, наряды, сведения, переписка) об оснащении рабочих мест оргтехникой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справки, заявки, докладные и служебные записки,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Эксплуатационно-технические документы (инструкции, руководства)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списания технических средств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Нормативы складских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хранения (складского хранения)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(уведомления, журналы, карточки учета материальных ценностей, складские свидетельства и квитанции, требования, погрузочные ордера,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лимитно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списания материальных ценностей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отчеты, сведения, переписка) о складском хранении материальных ценностей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учета и списания тары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Нормы естественной убыли, отходов продуктов: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Пропуска на вывоз товаров и материалов со складов, корешки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D164FD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10. Административно-хозяйственное обеспечение деятельности</w:t>
            </w:r>
          </w:p>
        </w:tc>
      </w:tr>
      <w:tr w:rsidR="00DE62DE" w:rsidRPr="00D164FD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10.1. Эксплуатация зданий, строений, сооружений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Паспорта зданий, сооружений: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сноса здания, строения, сооружения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памятников архитектуры, истории и культуры;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иных зданий, строений и сооружений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технического учета объектов недвижимого имущества (технические планы, технические и кадастровые паспорта)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(схемы) размещения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правоустанавливающие документы, планы, проекты, технические паспорта, решения) о переводе помещений в жилые и нежилые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страхования зданий, строений, сооружений, помещений, земельных участков; документы (полисы, соглашения, переписка)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Договоры страхования жилых помещений, заключенные в рамках программ организации возмещения ущерба, причиненного расположенным на территории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жилым помещениям граждан, с использованием механизма добровольного страхования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энергоснабжения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оказания коммунальных услуг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об оказании коммунальных услуг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сводки, переписка) 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сдачи-приемки ввода в эксплуатацию зданий, строений,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собраний собственников помещений в многоквартирном доме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справки, журналы регистрации заявлений, переписка) по выбору организаций, осуществляющих управление многоквартирными домами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возникновении споров и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10.2. Транспортное обслуживание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списания транспортных средств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Правила погрузки и разгрузки транспортных средств, контейнеров: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транспортной экспедиции и (или) аренды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страхования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Путевые листы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отсутствии других документов, подтверждающих вредные и опасные условия труда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учета путевых 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списания транспортных средств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559.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проведения проверки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служебного расследования дорожно-транспортного происшествия в организации; документы (протоколы, схемы, фотодокументы, сведения, объяснительные записки)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(1).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Связанные с крупным материальным ущербом и человеческими жертвами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дорожно-транспортных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10.3. Информационно-телекоммуникационное обеспечение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Схемы линий внутренней связи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Разрешения на установку и использование средств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окончания эксплуатации средств связи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эксплуатации, ремонта, аренды внутренней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(справки, сведения) по организации защиты телекоммуникационных каналов и сетей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Схемы организации криптографической защиты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569.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Сертификаты ключа проверки электронной подписи: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исключения из реестра сертификатов ключей проверки электронных подписей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в удостоверяющих центрах;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приостановления или аннулирования действия сертификата ключа проверки электронной подписи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573.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Реестры 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уполномоченных лиц - владельцев сертификатов ключа проверки электронной подписи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Регламенты удостоверяющих центров: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разработки и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Журналы, базы данных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поэкземплярного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579.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заявлений о повреждении средств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D164FD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11. Обеспечение режима безопасности организации, гражданская оборона и защита от чрезвычайных ситуаций</w:t>
            </w:r>
          </w:p>
        </w:tc>
      </w:tr>
      <w:tr w:rsidR="00DE62DE" w:rsidRPr="00D164FD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11.1. Организация охраны, пропускного режима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на оказание охранных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Схемы дислокации постов охраны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Карточки, акты учета наличия, движения и состояния оружия, патронов и специальных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При условии проведения проверки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переаттестации или окончания эксплуатации помещения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Журналы приема (сдачи) под охрану режимных помещений,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спецхранилищ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сейфов (металлических шкафов) и ключей от 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акты, справки, сведения, докладные, служебные записки, переписка) о расследовании чрезвычайных происшествий при охране зданий, перевозке ценностей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588.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589.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11.2. 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повышения защищенности критически важных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актуализации паспорта безопасности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Паспорта безопасности объектов топливно-энергетического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актуализации паспорта безопасности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Паспорта безопасности объектов (территорий), подлежащих обязательной охране войсками национальной гвардии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актуализации паспорта безопасности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ЭПК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599.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Положения, инструкции, порядки руководителя объектового звена Российской системы чрезвычайных ситуаций (РСЧС)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мерах по предупреждению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и схемы 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Планы-схемы эвакуации из здания при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эвакуируемых работников и членов их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609.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610.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учета имущества гражданской обороны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Документы (планы, отчеты, инструкции, докладные, служебные записки, акты, справки, переписка) об обеспечении противопожарного, </w:t>
            </w:r>
            <w:proofErr w:type="spellStart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внутриобъектового</w:t>
            </w:r>
            <w:proofErr w:type="spellEnd"/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пропускного режимов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заключения, переписка) о пожарах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человеческими жертвами, при уничтожении документов в результате пожара - Постоянно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противопожарного оборудования и инвентаря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замены новыми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D164FD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12. Социально-бытовые вопросы</w:t>
            </w:r>
          </w:p>
        </w:tc>
      </w:tr>
      <w:tr w:rsidR="00DE62DE" w:rsidRPr="00D164FD" w:rsidTr="00532618">
        <w:tc>
          <w:tcPr>
            <w:tcW w:w="11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12.1. Социальное страхование, социальная защита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Комплексные программы мер социальной защиты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по месту утверждения;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в других организациях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AB2F98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ДМН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Листки нетрудоспособности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619.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Книги, журналы, регистрации листков нетрудоспособности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Личные дела: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снятия получателя с учета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При отсутствии периода, засчитываемого в трудовой стаж - 3 года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После прекращения страховых выплат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а) получателей персональных доплат из средств федерального бюджета, бюджета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бюджета муниципальных образований;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несовершеннолетних подопечных;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в) получателей государственных услуг, признанных безработными;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50 лет (2)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г) получателей государственных услуг, не признанных безработными;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д) получателей государственных услуг - работодателей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е) получателей пособий из средств федерального бюджета, бюджета субъектов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, внебюджетных фондов;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(3)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ж) 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з) 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B35E2">
              <w:rPr>
                <w:rFonts w:eastAsia="Times New Roman"/>
                <w:color w:val="333333"/>
                <w:sz w:val="22"/>
                <w:szCs w:val="22"/>
                <w:highlight w:val="cyan"/>
                <w:lang w:eastAsia="ru-RU"/>
              </w:rPr>
              <w:t>50/75 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623.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(протоколы, информации, справки, переписка) комиссии (уполномоченного) по социальному страхованию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Сведения, представляемые в Пенсионный фонд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для индивидуального (персонифицированного) учета: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электронной форме - 75 лет</w:t>
            </w: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у страхователей;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б) в Пенсионном фонде </w:t>
            </w:r>
            <w:r w:rsid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 лет (1)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 год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установления пенсии и иных социальных выплат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 на оказание и оплату медицинской помощи по обязательному страхованию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Заявления застрахованных лиц: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а) о выборе (замене) страховой медицинской организации;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б) о выдаче дубликата полиса или переоформления полиса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Журналы регистрации выдачи полисов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Экспертное заключение, акт экспертизы качества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Заключительные акты медицинских осмотров работников, выполняющих работы с вредными, опасными условиями труда - 50/75 лет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Расходные ордера на санаторно-курортные путевки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Списки детей работников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замены новыми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1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D164FD" w:rsidRDefault="00DE62DE" w:rsidP="00DE62D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D164FD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12.2. Обеспечение жильем и коммунальными услугами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639.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Положение о жилищной комиссии, общественной жилищной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640.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Заявления о предоставлении жилья, в том числе по договорам социального найма, и документы (1) к ним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(2) (3)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</w:t>
            </w:r>
            <w:proofErr w:type="gramStart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случае отказа - 3 года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(2) После приобретения (передачи) жилой площади или после снятия с учета</w:t>
            </w:r>
          </w:p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(3) При возникновении споров, разногласий сохраняются до принятия решения по делу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Протоколы заседаний жилищной комиссии, общественной жилищной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Учетные дела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приобретения жилого помещения или после снятия с учета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Книга учета государственных и муниципальных служащих для получения единовременной субсидии на приобретение жилого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предоставления, приобретения (передачи) жилого помещения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учета работников, нуждающихся в служебном жилом помещении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Учетные дела работников, нуждающихся в служебном жилом помещении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освобождения служебного жилого помещения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648.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649.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купли-продажи жилых помещений, долей в 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 ликвидации организации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650.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найма, социального найма жилого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651.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(охранные свидетельства, заявления, переписка) о бронировании жилой площади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окончания бронирования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652.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Книги регистрации жильцов (домовые, поквартирные книги, карточки)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Постоянно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Передаются на хранение в государственные, муниципальные архивы после сноса дома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653.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Лицевые счета на жилые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сноса жилого дома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654.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(1) После истечения срока действия договора; после 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655.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Договоры управления многоквартирными домами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 (1)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(1) После истечения срока действия договора; после </w:t>
            </w:r>
            <w:r w:rsidRPr="00AB2F9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прекращения обязательств по договору</w:t>
            </w: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656.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(акты, переписка) по вопросам санитарного состояния и благоустройства придомовых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 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E62DE" w:rsidRPr="00AB2F98" w:rsidTr="00532618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657.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Документы (извещения, сведения, расчеты, ведомости, справки, счета) об оплате за жилое помещение и 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B2F9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 лет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E62DE" w:rsidRPr="00AB2F98" w:rsidRDefault="00DE62DE" w:rsidP="00DE62D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D5D69" w:rsidRDefault="00DE62DE" w:rsidP="009C3D8E">
      <w:pPr>
        <w:spacing w:before="90" w:after="90" w:line="240" w:lineRule="auto"/>
        <w:ind w:firstLine="675"/>
        <w:jc w:val="both"/>
        <w:rPr>
          <w:sz w:val="20"/>
          <w:szCs w:val="20"/>
        </w:rPr>
      </w:pPr>
      <w:r w:rsidRPr="00AB2F98">
        <w:rPr>
          <w:rFonts w:eastAsia="Times New Roman"/>
          <w:lang w:eastAsia="ru-RU"/>
        </w:rPr>
        <w:t> </w:t>
      </w:r>
      <w:bookmarkStart w:id="0" w:name="_GoBack"/>
      <w:bookmarkEnd w:id="0"/>
    </w:p>
    <w:p w:rsidR="00DD5D69" w:rsidRPr="00B872D8" w:rsidRDefault="00DD5D69" w:rsidP="00DD5D69">
      <w:pPr>
        <w:pStyle w:val="ConsPlusNonformat"/>
        <w:widowControl/>
        <w:jc w:val="center"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ОГЛАВЛЕНИЕ</w:t>
      </w:r>
    </w:p>
    <w:p w:rsidR="00DD5D69" w:rsidRPr="00B872D8" w:rsidRDefault="00DD5D69" w:rsidP="00DD5D69">
      <w:pPr>
        <w:pStyle w:val="ConsPlusNonformat"/>
        <w:widowControl/>
        <w:jc w:val="center"/>
        <w:rPr>
          <w:rFonts w:ascii="Liberation Serif" w:hAnsi="Liberation Serif" w:cs="Times New Roman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1. ОРГАНИЗАЦИЯ СИСТЕМЫ УПРАВЛЕНИЯ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 xml:space="preserve">1.1. </w:t>
      </w:r>
      <w:r w:rsidRPr="00B872D8">
        <w:rPr>
          <w:rFonts w:ascii="Liberation Serif" w:hAnsi="Liberation Serif"/>
          <w:color w:val="333333"/>
          <w:sz w:val="22"/>
          <w:szCs w:val="22"/>
        </w:rPr>
        <w:t>Нормативно-правовое обеспечение деятельности</w:t>
      </w:r>
      <w:r w:rsidRPr="00B872D8">
        <w:rPr>
          <w:rFonts w:ascii="Liberation Serif" w:hAnsi="Liberation Serif" w:cs="Times New Roman"/>
          <w:sz w:val="22"/>
          <w:szCs w:val="22"/>
        </w:rPr>
        <w:t xml:space="preserve"> …</w:t>
      </w:r>
      <w:r>
        <w:rPr>
          <w:rFonts w:ascii="Liberation Serif" w:hAnsi="Liberation Serif" w:cs="Times New Roman"/>
          <w:sz w:val="22"/>
          <w:szCs w:val="22"/>
        </w:rPr>
        <w:t xml:space="preserve"> </w:t>
      </w:r>
      <w:r w:rsidRPr="00B872D8">
        <w:rPr>
          <w:rFonts w:ascii="Liberation Serif" w:hAnsi="Liberation Serif" w:cs="Times New Roman"/>
          <w:sz w:val="22"/>
          <w:szCs w:val="22"/>
        </w:rPr>
        <w:t>1-14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 xml:space="preserve">1.2. </w:t>
      </w:r>
      <w:r w:rsidRPr="00B872D8">
        <w:rPr>
          <w:rFonts w:ascii="Liberation Serif" w:hAnsi="Liberation Serif"/>
          <w:color w:val="333333"/>
          <w:sz w:val="22"/>
          <w:szCs w:val="22"/>
        </w:rPr>
        <w:t>Распорядительная деятельность</w:t>
      </w:r>
      <w:r w:rsidRPr="00B872D8">
        <w:rPr>
          <w:rFonts w:ascii="Liberation Serif" w:hAnsi="Liberation Serif" w:cs="Times New Roman"/>
          <w:sz w:val="22"/>
          <w:szCs w:val="22"/>
        </w:rPr>
        <w:t xml:space="preserve"> </w:t>
      </w:r>
      <w:r>
        <w:rPr>
          <w:rFonts w:ascii="Liberation Serif" w:hAnsi="Liberation Serif" w:cs="Times New Roman"/>
          <w:sz w:val="22"/>
          <w:szCs w:val="22"/>
        </w:rPr>
        <w:t xml:space="preserve">… </w:t>
      </w:r>
      <w:r w:rsidRPr="00B872D8">
        <w:rPr>
          <w:rFonts w:ascii="Liberation Serif" w:hAnsi="Liberation Serif" w:cs="Times New Roman"/>
          <w:sz w:val="22"/>
          <w:szCs w:val="22"/>
        </w:rPr>
        <w:t>15-23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1.3. Организационные основы управления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1.3.1. Создание (ликвидация) организаций … 24-44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1.3.2. Организация деятельности … 45-70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 xml:space="preserve">1.3.3. Управление и распоряжение имуществом </w:t>
      </w:r>
      <w:r>
        <w:rPr>
          <w:rFonts w:ascii="Liberation Serif" w:hAnsi="Liberation Serif"/>
          <w:color w:val="333333"/>
          <w:sz w:val="22"/>
          <w:szCs w:val="22"/>
        </w:rPr>
        <w:t>…</w:t>
      </w:r>
      <w:r w:rsidRPr="00B872D8">
        <w:rPr>
          <w:rFonts w:ascii="Liberation Serif" w:hAnsi="Liberation Serif"/>
          <w:color w:val="333333"/>
          <w:sz w:val="22"/>
          <w:szCs w:val="22"/>
        </w:rPr>
        <w:t xml:space="preserve"> 71-138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1.4. Контроль и надзор .</w:t>
      </w:r>
      <w:r>
        <w:rPr>
          <w:rFonts w:ascii="Liberation Serif" w:hAnsi="Liberation Serif"/>
          <w:color w:val="333333"/>
          <w:sz w:val="22"/>
          <w:szCs w:val="22"/>
        </w:rPr>
        <w:t>.</w:t>
      </w:r>
      <w:r w:rsidRPr="00B872D8">
        <w:rPr>
          <w:rFonts w:ascii="Liberation Serif" w:hAnsi="Liberation Serif"/>
          <w:color w:val="333333"/>
          <w:sz w:val="22"/>
          <w:szCs w:val="22"/>
        </w:rPr>
        <w:t>. 139-154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1.5. Документационное обеспечение управления и организация хранения документов … 155-184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1.6. Информатизация деятельности … 185-189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2. ПЛАНИРОВАНИЕ ДЕЯТЕЛЬНОСТИ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2.1. Прогнозирование, перспективное планирование</w:t>
      </w:r>
      <w:r w:rsidRPr="00B872D8">
        <w:rPr>
          <w:rFonts w:ascii="Liberation Serif" w:hAnsi="Liberation Serif" w:cs="Times New Roman"/>
          <w:sz w:val="22"/>
          <w:szCs w:val="22"/>
        </w:rPr>
        <w:t xml:space="preserve"> .</w:t>
      </w:r>
      <w:r>
        <w:rPr>
          <w:rFonts w:ascii="Liberation Serif" w:hAnsi="Liberation Serif" w:cs="Times New Roman"/>
          <w:sz w:val="22"/>
          <w:szCs w:val="22"/>
        </w:rPr>
        <w:t>.</w:t>
      </w:r>
      <w:r w:rsidRPr="00B872D8">
        <w:rPr>
          <w:rFonts w:ascii="Liberation Serif" w:hAnsi="Liberation Serif" w:cs="Times New Roman"/>
          <w:sz w:val="22"/>
          <w:szCs w:val="22"/>
        </w:rPr>
        <w:t>. 190-195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2.2. Текущее планирование … 196-205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2.3. Отчетность о выполнении планов … 206-216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2.4. Осуществление закупок товаров, работ, услуг для государственных и муниципальных нужд; осуществление закупок отдельными видами юридических лиц; получение грантов … 217-233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2.5. Ценообразование … 234-240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3. ФИНАНСИРОВАНИЕ ДЕЯТЕЛЬНОСТИ … 241-266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4. УЧЕТ И ОТЧЕТНОСТЬ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  <w:r w:rsidRPr="00B872D8">
        <w:rPr>
          <w:rFonts w:ascii="Liberation Serif" w:hAnsi="Liberation Serif" w:cs="Times New Roman"/>
          <w:sz w:val="22"/>
          <w:szCs w:val="22"/>
        </w:rPr>
        <w:t>4.1. Бухгалтерский учет и отчетность</w:t>
      </w:r>
      <w:r>
        <w:rPr>
          <w:rFonts w:ascii="Liberation Serif" w:hAnsi="Liberation Serif" w:cs="Times New Roman"/>
          <w:sz w:val="22"/>
          <w:szCs w:val="22"/>
        </w:rPr>
        <w:t xml:space="preserve"> … </w:t>
      </w:r>
      <w:r w:rsidRPr="00B872D8">
        <w:rPr>
          <w:rFonts w:ascii="Liberation Serif" w:hAnsi="Liberation Serif" w:cs="Times New Roman"/>
          <w:sz w:val="22"/>
          <w:szCs w:val="22"/>
        </w:rPr>
        <w:t>267-292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 xml:space="preserve">4.2. Учет оплаты труда </w:t>
      </w:r>
      <w:r>
        <w:rPr>
          <w:rFonts w:ascii="Liberation Serif" w:hAnsi="Liberation Serif"/>
          <w:color w:val="333333"/>
          <w:sz w:val="22"/>
          <w:szCs w:val="22"/>
        </w:rPr>
        <w:t>…</w:t>
      </w:r>
      <w:r w:rsidRPr="00B872D8">
        <w:rPr>
          <w:rFonts w:ascii="Liberation Serif" w:hAnsi="Liberation Serif"/>
          <w:color w:val="333333"/>
          <w:sz w:val="22"/>
          <w:szCs w:val="22"/>
        </w:rPr>
        <w:t xml:space="preserve"> 293-302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4.3. Налогообложение … 303-320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4.4. Учет имущества … 321-330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4.5. Статистический учет и отчетность … 331-338</w:t>
      </w:r>
    </w:p>
    <w:p w:rsidR="00DD5D69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5. М</w:t>
      </w:r>
      <w:r>
        <w:rPr>
          <w:rFonts w:ascii="Liberation Serif" w:hAnsi="Liberation Serif"/>
          <w:color w:val="333333"/>
          <w:sz w:val="22"/>
          <w:szCs w:val="22"/>
        </w:rPr>
        <w:t>ЕЖДУНАРОДНОЕ СОТРУДНИЧЕСТВО</w:t>
      </w:r>
      <w:r w:rsidRPr="00B872D8">
        <w:rPr>
          <w:rFonts w:ascii="Liberation Serif" w:hAnsi="Liberation Serif"/>
          <w:color w:val="333333"/>
          <w:sz w:val="22"/>
          <w:szCs w:val="22"/>
        </w:rPr>
        <w:t xml:space="preserve"> … 339-356</w:t>
      </w:r>
    </w:p>
    <w:p w:rsidR="00DD5D69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6. И</w:t>
      </w:r>
      <w:r>
        <w:rPr>
          <w:rFonts w:ascii="Liberation Serif" w:hAnsi="Liberation Serif"/>
          <w:color w:val="333333"/>
          <w:sz w:val="22"/>
          <w:szCs w:val="22"/>
        </w:rPr>
        <w:t>НФОРМАЦИОННАЯ ДЕЯТЕЛЬНОСТЬ</w:t>
      </w:r>
      <w:r w:rsidRPr="00B872D8">
        <w:rPr>
          <w:rFonts w:ascii="Liberation Serif" w:hAnsi="Liberation Serif"/>
          <w:color w:val="333333"/>
          <w:sz w:val="22"/>
          <w:szCs w:val="22"/>
        </w:rPr>
        <w:t xml:space="preserve"> …357-372</w:t>
      </w:r>
    </w:p>
    <w:p w:rsidR="00DD5D69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7. Т</w:t>
      </w:r>
      <w:r>
        <w:rPr>
          <w:rFonts w:ascii="Liberation Serif" w:hAnsi="Liberation Serif"/>
          <w:color w:val="333333"/>
          <w:sz w:val="22"/>
          <w:szCs w:val="22"/>
        </w:rPr>
        <w:t>РУДОВЫЕ ОТНОШЕНИЯ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7.1. Организация труда и служебной деятельности … 373-392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7.2. Нормирование и оплата труда … 393-406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7.3. Охрана труда … 407-430</w:t>
      </w:r>
    </w:p>
    <w:p w:rsidR="00DD5D69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8. К</w:t>
      </w:r>
      <w:r>
        <w:rPr>
          <w:rFonts w:ascii="Liberation Serif" w:hAnsi="Liberation Serif"/>
          <w:color w:val="333333"/>
          <w:sz w:val="22"/>
          <w:szCs w:val="22"/>
        </w:rPr>
        <w:t>АДРОВОЕ ОБЕСПЕЧЕНИЕ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8.1. Прием, перевод на другую работу (перемещение), увольнение работников, кадровый учет … 431-463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8.2. Противодействие коррупции … 464-474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8.3. Аттестация, повышение квалификации и профессиональная переподготовка работников, независимая оценка квалификации … 475-499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8.4. Награждение … 500-508</w:t>
      </w:r>
    </w:p>
    <w:p w:rsidR="00DD5D69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9. М</w:t>
      </w:r>
      <w:r>
        <w:rPr>
          <w:rFonts w:ascii="Liberation Serif" w:hAnsi="Liberation Serif"/>
          <w:color w:val="333333"/>
          <w:sz w:val="22"/>
          <w:szCs w:val="22"/>
        </w:rPr>
        <w:t>АТЕРИАЛЬНО-ТЕХНИЧЕСКОЕ ОБЕСПЕЧЕНИЕ ДЕЯТЕЛЬНОСТИ</w:t>
      </w:r>
      <w:r w:rsidRPr="00B872D8">
        <w:rPr>
          <w:rFonts w:ascii="Liberation Serif" w:hAnsi="Liberation Serif"/>
          <w:color w:val="333333"/>
          <w:sz w:val="22"/>
          <w:szCs w:val="22"/>
        </w:rPr>
        <w:t xml:space="preserve"> … 509-531</w:t>
      </w:r>
    </w:p>
    <w:p w:rsidR="00DD5D69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10. </w:t>
      </w:r>
      <w:r w:rsidRPr="006523FE">
        <w:rPr>
          <w:rFonts w:ascii="Times New Roman" w:hAnsi="Times New Roman" w:cs="Times New Roman"/>
          <w:sz w:val="22"/>
          <w:szCs w:val="22"/>
        </w:rPr>
        <w:t>АДМИНИСТРАТИВНО-ХОЗЯЙСТВЕНН</w:t>
      </w:r>
      <w:r>
        <w:rPr>
          <w:rFonts w:ascii="Times New Roman" w:hAnsi="Times New Roman" w:cs="Times New Roman"/>
          <w:sz w:val="22"/>
          <w:szCs w:val="22"/>
        </w:rPr>
        <w:t xml:space="preserve">ОЕ ОБЕСПЕЧЕНИЕ </w:t>
      </w:r>
      <w:r>
        <w:rPr>
          <w:rFonts w:ascii="Liberation Serif" w:hAnsi="Liberation Serif"/>
          <w:color w:val="333333"/>
          <w:sz w:val="22"/>
          <w:szCs w:val="22"/>
        </w:rPr>
        <w:t>ДЕЯТЕЛЬНОСТИ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10.1. Эксплуатация зданий, строений, сооружений … 532-547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10.2. Транспортное обслуживание … 548-561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10.3. Информационно-телекоммуникационное обеспечение … 562-579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872D8">
        <w:rPr>
          <w:rFonts w:eastAsia="Times New Roman"/>
          <w:color w:val="333333"/>
          <w:sz w:val="22"/>
          <w:szCs w:val="22"/>
          <w:lang w:eastAsia="ru-RU"/>
        </w:rPr>
        <w:lastRenderedPageBreak/>
        <w:t>11. </w:t>
      </w:r>
      <w:r>
        <w:rPr>
          <w:rFonts w:ascii="Times New Roman" w:hAnsi="Times New Roman"/>
          <w:sz w:val="22"/>
          <w:szCs w:val="22"/>
        </w:rPr>
        <w:t xml:space="preserve">ОБЕСПЕЧЕНИЕ РЕЖИМА БЕЗОПАСНОСТИ ОРГАНИЗАЦИИ, ГРАЖДАНСКАЯ ОБОРОНА И ЗАЩИТА ОТ ЧРЕЗВЫЧАЙНЫХ СИТУАЦИЙ 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11.1. Организация охраны, пропускного режима … 580-592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11.2. Обеспечение антитеррористической защищенности и пожарной безопасности, организация гражданской обороны и защиты от чрезвычайных ситуаций … 593-616</w:t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</w:p>
    <w:p w:rsidR="00DD5D69" w:rsidRPr="00B872D8" w:rsidRDefault="00DD5D69" w:rsidP="00DD5D69">
      <w:pPr>
        <w:tabs>
          <w:tab w:val="left" w:pos="3869"/>
        </w:tabs>
        <w:spacing w:after="0" w:line="240" w:lineRule="auto"/>
        <w:rPr>
          <w:rFonts w:eastAsia="Times New Roman"/>
          <w:color w:val="333333"/>
          <w:sz w:val="22"/>
          <w:szCs w:val="22"/>
          <w:lang w:eastAsia="ru-RU"/>
        </w:rPr>
      </w:pPr>
      <w:r w:rsidRPr="00B872D8">
        <w:rPr>
          <w:rFonts w:eastAsia="Times New Roman"/>
          <w:color w:val="333333"/>
          <w:sz w:val="22"/>
          <w:szCs w:val="22"/>
          <w:lang w:eastAsia="ru-RU"/>
        </w:rPr>
        <w:t>12. </w:t>
      </w:r>
      <w:r w:rsidRPr="006523FE">
        <w:rPr>
          <w:rFonts w:ascii="Times New Roman" w:hAnsi="Times New Roman"/>
          <w:sz w:val="22"/>
          <w:szCs w:val="22"/>
        </w:rPr>
        <w:t>СОЦИАЛЬНО-БЫТОВЫЕ ВОПРОСЫ</w:t>
      </w:r>
      <w:r>
        <w:rPr>
          <w:rFonts w:eastAsia="Times New Roman"/>
          <w:color w:val="333333"/>
          <w:sz w:val="22"/>
          <w:szCs w:val="22"/>
          <w:lang w:eastAsia="ru-RU"/>
        </w:rPr>
        <w:tab/>
      </w:r>
    </w:p>
    <w:p w:rsidR="00DD5D69" w:rsidRPr="00B872D8" w:rsidRDefault="00DD5D69" w:rsidP="00DD5D69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12.1. Социальное страхование, социальная защита … 617-638</w:t>
      </w:r>
    </w:p>
    <w:p w:rsidR="00DD5D69" w:rsidRPr="00142531" w:rsidRDefault="00DD5D69" w:rsidP="00142531">
      <w:pPr>
        <w:pStyle w:val="ConsPlusNonformat"/>
        <w:widowControl/>
        <w:rPr>
          <w:rFonts w:ascii="Liberation Serif" w:hAnsi="Liberation Serif"/>
          <w:color w:val="333333"/>
          <w:sz w:val="22"/>
          <w:szCs w:val="22"/>
        </w:rPr>
      </w:pPr>
      <w:r w:rsidRPr="00B872D8">
        <w:rPr>
          <w:rFonts w:ascii="Liberation Serif" w:hAnsi="Liberation Serif"/>
          <w:color w:val="333333"/>
          <w:sz w:val="22"/>
          <w:szCs w:val="22"/>
        </w:rPr>
        <w:t>12.2. Обеспечение жильем и коммунальными услугами … 639-657</w:t>
      </w:r>
    </w:p>
    <w:sectPr w:rsidR="00DD5D69" w:rsidRPr="00142531" w:rsidSect="009C3D8E">
      <w:type w:val="continuous"/>
      <w:pgSz w:w="11909" w:h="16834"/>
      <w:pgMar w:top="284" w:right="567" w:bottom="567" w:left="136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E"/>
    <w:rsid w:val="000D53C5"/>
    <w:rsid w:val="001107A5"/>
    <w:rsid w:val="00142531"/>
    <w:rsid w:val="00154611"/>
    <w:rsid w:val="0025389B"/>
    <w:rsid w:val="002969F2"/>
    <w:rsid w:val="002B5F1D"/>
    <w:rsid w:val="002E1A4F"/>
    <w:rsid w:val="00461131"/>
    <w:rsid w:val="00465E3A"/>
    <w:rsid w:val="004E32F4"/>
    <w:rsid w:val="005173CD"/>
    <w:rsid w:val="00524619"/>
    <w:rsid w:val="00532618"/>
    <w:rsid w:val="00633D45"/>
    <w:rsid w:val="00667DDE"/>
    <w:rsid w:val="006867ED"/>
    <w:rsid w:val="00845008"/>
    <w:rsid w:val="0085191F"/>
    <w:rsid w:val="008C52D3"/>
    <w:rsid w:val="00932334"/>
    <w:rsid w:val="00957552"/>
    <w:rsid w:val="009C3D8E"/>
    <w:rsid w:val="009F478F"/>
    <w:rsid w:val="00AB2F98"/>
    <w:rsid w:val="00B82E75"/>
    <w:rsid w:val="00BA5A30"/>
    <w:rsid w:val="00BC603D"/>
    <w:rsid w:val="00CB35E2"/>
    <w:rsid w:val="00D164FD"/>
    <w:rsid w:val="00DD5D69"/>
    <w:rsid w:val="00DE62DE"/>
    <w:rsid w:val="00E31D83"/>
    <w:rsid w:val="00E864A7"/>
    <w:rsid w:val="00F649D4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3516-BA37-400E-A49A-79BF74D6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62DE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E6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E6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1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65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6688#l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00186#l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26688#l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00186#l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680027&amp;backlink=1&amp;&amp;nd=10208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9F16-F024-42D1-AFBA-A74AB209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54</Pages>
  <Words>18741</Words>
  <Characters>106827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2020-08-06T11:19:00Z</cp:lastPrinted>
  <dcterms:created xsi:type="dcterms:W3CDTF">2020-06-23T06:15:00Z</dcterms:created>
  <dcterms:modified xsi:type="dcterms:W3CDTF">2023-12-06T05:58:00Z</dcterms:modified>
</cp:coreProperties>
</file>