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center"/>
        <w:spacing w:after="0" w:line="240" w:lineRule="auto"/>
        <w:rPr>
          <w:rFonts w:ascii="Segoe UI" w:hAnsi="Segoe UI" w:cs="Segoe UI"/>
          <w:sz w:val="28"/>
          <w:szCs w:val="28"/>
          <w:lang w:eastAsia="sk-SK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Segoe UI" w:hAnsi="Segoe UI" w:cs="Segoe UI"/>
          <w:sz w:val="28"/>
          <w:szCs w:val="28"/>
          <w:lang w:eastAsia="sk-SK"/>
        </w:rPr>
      </w:r>
    </w:p>
    <w:p>
      <w:pPr>
        <w:ind w:firstLine="708"/>
        <w:jc w:val="right"/>
        <w:spacing w:after="0" w:line="240" w:lineRule="auto"/>
        <w:rPr>
          <w:rFonts w:ascii="Segoe UI" w:hAnsi="Segoe UI" w:cs="Segoe UI"/>
          <w:sz w:val="28"/>
          <w:szCs w:val="28"/>
          <w:lang w:eastAsia="sk-SK"/>
        </w:rPr>
      </w:pPr>
      <w:r>
        <w:rPr>
          <w:rFonts w:ascii="Segoe UI" w:hAnsi="Segoe UI" w:cs="Segoe UI"/>
          <w:sz w:val="28"/>
          <w:szCs w:val="28"/>
          <w:lang w:eastAsia="sk-SK"/>
        </w:rPr>
      </w:r>
      <w:r>
        <w:rPr>
          <w:rFonts w:ascii="Segoe UI" w:hAnsi="Segoe UI" w:cs="Segoe UI"/>
          <w:sz w:val="28"/>
          <w:szCs w:val="28"/>
          <w:lang w:eastAsia="sk-SK"/>
        </w:rPr>
      </w:r>
    </w:p>
    <w:p>
      <w:pPr>
        <w:ind w:firstLine="708"/>
        <w:jc w:val="right"/>
        <w:spacing w:after="0" w:line="240" w:lineRule="auto"/>
        <w:rPr>
          <w:rFonts w:ascii="Segoe UI" w:hAnsi="Segoe UI" w:cs="Segoe UI"/>
          <w:b/>
          <w:sz w:val="28"/>
          <w:szCs w:val="28"/>
          <w:lang w:eastAsia="sk-SK"/>
        </w:rPr>
      </w:pPr>
      <w:r>
        <w:rPr>
          <w:rFonts w:ascii="Segoe UI" w:hAnsi="Segoe UI" w:cs="Segoe UI"/>
          <w:b/>
          <w:sz w:val="28"/>
          <w:szCs w:val="28"/>
          <w:lang w:eastAsia="sk-SK"/>
        </w:rPr>
        <w:t xml:space="preserve">ПРЕСС-РЕЛИЗ</w:t>
      </w:r>
      <w:r>
        <w:rPr>
          <w:rFonts w:ascii="Segoe UI" w:hAnsi="Segoe UI" w:cs="Segoe UI"/>
          <w:b/>
          <w:sz w:val="28"/>
          <w:szCs w:val="28"/>
          <w:lang w:eastAsia="sk-SK"/>
        </w:rPr>
      </w:r>
    </w:p>
    <w:p>
      <w:pPr>
        <w:jc w:val="center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</w:r>
      <w:r>
        <w:rPr>
          <w:rFonts w:ascii="Segoe UI" w:hAnsi="Segoe UI" w:cs="Segoe UI"/>
          <w:b/>
          <w:sz w:val="24"/>
        </w:rPr>
      </w:r>
    </w:p>
    <w:p>
      <w:pPr>
        <w:jc w:val="center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 xml:space="preserve">Сведения о </w:t>
      </w:r>
      <w:r>
        <w:rPr>
          <w:rFonts w:ascii="Segoe UI" w:hAnsi="Segoe UI" w:cs="Segoe UI"/>
          <w:b/>
          <w:sz w:val="24"/>
        </w:rPr>
        <w:t xml:space="preserve">3</w:t>
      </w:r>
      <w:r>
        <w:rPr>
          <w:rFonts w:ascii="Segoe UI" w:hAnsi="Segoe UI" w:cs="Segoe UI"/>
          <w:b/>
          <w:sz w:val="24"/>
        </w:rPr>
        <w:t xml:space="preserve"> </w:t>
      </w:r>
      <w:r>
        <w:rPr>
          <w:rFonts w:ascii="Segoe UI" w:hAnsi="Segoe UI" w:cs="Segoe UI"/>
          <w:b/>
          <w:sz w:val="24"/>
        </w:rPr>
        <w:t xml:space="preserve">750 </w:t>
      </w:r>
      <w:r>
        <w:rPr>
          <w:rFonts w:ascii="Segoe UI" w:hAnsi="Segoe UI" w:cs="Segoe UI"/>
          <w:b/>
          <w:sz w:val="24"/>
        </w:rPr>
        <w:t xml:space="preserve">пунктах ГГС и </w:t>
      </w:r>
      <w:r>
        <w:rPr>
          <w:rFonts w:ascii="Segoe UI" w:hAnsi="Segoe UI" w:cs="Segoe UI"/>
          <w:b/>
          <w:sz w:val="24"/>
        </w:rPr>
        <w:t xml:space="preserve">292</w:t>
      </w:r>
      <w:r>
        <w:rPr>
          <w:rFonts w:ascii="Segoe UI" w:hAnsi="Segoe UI" w:cs="Segoe UI"/>
          <w:b/>
          <w:sz w:val="24"/>
        </w:rPr>
        <w:t xml:space="preserve"> </w:t>
      </w:r>
      <w:r>
        <w:rPr>
          <w:rFonts w:ascii="Segoe UI" w:hAnsi="Segoe UI" w:cs="Segoe UI"/>
          <w:b/>
          <w:sz w:val="24"/>
        </w:rPr>
        <w:t xml:space="preserve">пункт</w:t>
      </w:r>
      <w:r>
        <w:rPr>
          <w:rFonts w:ascii="Segoe UI" w:hAnsi="Segoe UI" w:cs="Segoe UI"/>
          <w:b/>
          <w:sz w:val="24"/>
        </w:rPr>
        <w:t xml:space="preserve">ах</w:t>
      </w:r>
      <w:r>
        <w:rPr>
          <w:rFonts w:ascii="Segoe UI" w:hAnsi="Segoe UI" w:cs="Segoe UI"/>
          <w:b/>
          <w:sz w:val="24"/>
        </w:rPr>
        <w:t xml:space="preserve"> </w:t>
      </w:r>
      <w:r>
        <w:rPr>
          <w:rFonts w:ascii="Segoe UI" w:hAnsi="Segoe UI" w:cs="Segoe UI"/>
          <w:b/>
          <w:sz w:val="24"/>
        </w:rPr>
        <w:t xml:space="preserve">ГНС внесены в ЕГРН</w:t>
      </w:r>
      <w:r>
        <w:rPr>
          <w:rFonts w:ascii="Segoe UI" w:hAnsi="Segoe UI" w:cs="Segoe UI"/>
          <w:b/>
          <w:sz w:val="24"/>
        </w:rPr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Геодезические (далее </w:t>
      </w:r>
      <w:r>
        <w:rPr>
          <w:rFonts w:ascii="Segoe UI" w:hAnsi="Segoe UI" w:cs="Segoe UI"/>
          <w:sz w:val="24"/>
        </w:rPr>
        <w:t xml:space="preserve">–</w:t>
      </w:r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ГГС) и нивелирные (далее – ГНС) пункты предназначены для </w:t>
      </w:r>
      <w:r>
        <w:rPr>
          <w:rFonts w:ascii="Segoe UI" w:hAnsi="Segoe UI" w:cs="Segoe UI"/>
          <w:sz w:val="24"/>
        </w:rPr>
        <w:t xml:space="preserve">выполнения геодезических, картографических, инженерно-изыскательских, градостроительных, землеустроительных, научно-исследовательских задач, кадастровых и иных работ в интересах народного хозяйства и обеспечения обороны и безопасности Российской Федерации.</w:t>
      </w:r>
      <w:r>
        <w:rPr>
          <w:rFonts w:ascii="Segoe UI" w:hAnsi="Segoe UI" w:cs="Segoe UI"/>
          <w:sz w:val="24"/>
        </w:rPr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В целях обеспечения сохранности пунктов ГГС и ГНС Управление Росреестра по Свердловской области выполняет работы по установлению охранных зон этих пунктов и внесению сведений в ЕГРН.</w:t>
      </w:r>
      <w:r>
        <w:rPr>
          <w:rFonts w:ascii="Segoe UI" w:hAnsi="Segoe UI" w:cs="Segoe UI"/>
          <w:sz w:val="24"/>
        </w:rPr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i/>
          <w:sz w:val="24"/>
        </w:rPr>
        <w:t xml:space="preserve">«Сохранение пунктов позволяет обеспечивать на территории Свердловской области единство измерений при геодезических и картографических работах. Эффективность строительства и эксплуатации объектов зависит от полноты и качества геодезической основы</w:t>
      </w:r>
      <w:r>
        <w:rPr>
          <w:rFonts w:ascii="Segoe UI" w:hAnsi="Segoe UI" w:cs="Segoe UI"/>
          <w:sz w:val="24"/>
        </w:rPr>
        <w:t xml:space="preserve">. </w:t>
      </w:r>
      <w:r>
        <w:rPr>
          <w:rFonts w:ascii="Segoe UI" w:hAnsi="Segoe UI" w:cs="Segoe UI"/>
          <w:i/>
          <w:iCs/>
          <w:sz w:val="24"/>
        </w:rPr>
        <w:t xml:space="preserve">Всего</w:t>
      </w:r>
      <w:r>
        <w:rPr>
          <w:rFonts w:ascii="Segoe UI" w:hAnsi="Segoe UI" w:cs="Segoe UI"/>
          <w:i/>
          <w:iCs/>
          <w:sz w:val="24"/>
        </w:rPr>
        <w:t xml:space="preserve">,</w:t>
      </w:r>
      <w:r>
        <w:rPr>
          <w:rFonts w:ascii="Segoe UI" w:hAnsi="Segoe UI" w:cs="Segoe UI"/>
          <w:i/>
          <w:iCs/>
          <w:sz w:val="24"/>
        </w:rPr>
        <w:t xml:space="preserve"> по данным Управления</w:t>
      </w:r>
      <w:r>
        <w:rPr>
          <w:rFonts w:ascii="Segoe UI" w:hAnsi="Segoe UI" w:cs="Segoe UI"/>
          <w:i/>
          <w:iCs/>
          <w:sz w:val="24"/>
        </w:rPr>
        <w:t xml:space="preserve">,</w:t>
      </w:r>
      <w:r>
        <w:rPr>
          <w:rFonts w:ascii="Segoe UI" w:hAnsi="Segoe UI" w:cs="Segoe UI"/>
          <w:i/>
          <w:iCs/>
          <w:sz w:val="24"/>
        </w:rPr>
        <w:t xml:space="preserve"> на территории Свердловской области расположено</w:t>
      </w:r>
      <w:r>
        <w:rPr>
          <w:rFonts w:ascii="Segoe UI" w:hAnsi="Segoe UI" w:cs="Segoe UI"/>
          <w:i/>
          <w:iCs/>
          <w:sz w:val="24"/>
        </w:rPr>
        <w:t xml:space="preserve"> </w:t>
      </w:r>
      <w:r>
        <w:rPr>
          <w:rFonts w:ascii="Segoe UI" w:hAnsi="Segoe UI" w:cs="Segoe UI"/>
          <w:i/>
          <w:iCs/>
          <w:sz w:val="24"/>
        </w:rPr>
        <w:t xml:space="preserve">4062 пункт</w:t>
      </w:r>
      <w:r>
        <w:rPr>
          <w:rFonts w:ascii="Segoe UI" w:hAnsi="Segoe UI" w:cs="Segoe UI"/>
          <w:i/>
          <w:iCs/>
          <w:sz w:val="24"/>
        </w:rPr>
        <w:t xml:space="preserve">а </w:t>
      </w:r>
      <w:r>
        <w:rPr>
          <w:rFonts w:ascii="Segoe UI" w:hAnsi="Segoe UI" w:cs="Segoe UI"/>
          <w:i/>
          <w:iCs/>
          <w:sz w:val="24"/>
        </w:rPr>
        <w:t xml:space="preserve">ГГС и 21 475 пунктов ГНС. На 1 марта 2025 года в ЕГРН внесены сведения о границах охранных зон 3750 пунктов ГГС и 292 пункт</w:t>
      </w:r>
      <w:r>
        <w:rPr>
          <w:rFonts w:ascii="Segoe UI" w:hAnsi="Segoe UI" w:cs="Segoe UI"/>
          <w:i/>
          <w:iCs/>
          <w:sz w:val="24"/>
        </w:rPr>
        <w:t xml:space="preserve">ов</w:t>
      </w:r>
      <w:r>
        <w:rPr>
          <w:rFonts w:ascii="Segoe UI" w:hAnsi="Segoe UI" w:cs="Segoe UI"/>
          <w:i/>
          <w:iCs/>
          <w:sz w:val="24"/>
        </w:rPr>
        <w:t xml:space="preserve"> ГНС</w:t>
      </w:r>
      <w:r>
        <w:rPr>
          <w:rFonts w:ascii="Segoe UI" w:hAnsi="Segoe UI" w:cs="Segoe UI"/>
          <w:i/>
          <w:sz w:val="24"/>
        </w:rPr>
        <w:t xml:space="preserve">»</w:t>
      </w:r>
      <w:r>
        <w:rPr>
          <w:rFonts w:ascii="Segoe UI" w:hAnsi="Segoe UI" w:cs="Segoe UI"/>
          <w:i/>
          <w:sz w:val="24"/>
        </w:rPr>
        <w:t xml:space="preserve">,</w:t>
      </w:r>
      <w:r>
        <w:rPr>
          <w:rFonts w:ascii="Segoe UI" w:hAnsi="Segoe UI" w:cs="Segoe UI"/>
          <w:sz w:val="24"/>
        </w:rPr>
        <w:t xml:space="preserve"> – </w:t>
      </w:r>
      <w:r>
        <w:rPr>
          <w:rFonts w:ascii="Segoe UI" w:hAnsi="Segoe UI" w:cs="Segoe UI"/>
          <w:sz w:val="24"/>
        </w:rPr>
        <w:t xml:space="preserve">сообщила </w:t>
      </w:r>
      <w:r>
        <w:rPr>
          <w:rFonts w:ascii="Segoe UI" w:hAnsi="Segoe UI" w:cs="Segoe UI"/>
          <w:sz w:val="24"/>
        </w:rPr>
        <w:t xml:space="preserve">заместитель руководителя Управления </w:t>
      </w:r>
      <w:r>
        <w:rPr>
          <w:rFonts w:ascii="Segoe UI" w:hAnsi="Segoe UI" w:cs="Segoe UI"/>
          <w:b/>
          <w:sz w:val="24"/>
        </w:rPr>
        <w:t xml:space="preserve">Татьяна Янтюшева</w:t>
      </w:r>
      <w:r>
        <w:rPr>
          <w:rFonts w:ascii="Segoe UI" w:hAnsi="Segoe UI" w:cs="Segoe UI"/>
          <w:sz w:val="24"/>
        </w:rPr>
        <w:t xml:space="preserve">.</w:t>
      </w:r>
      <w:r>
        <w:rPr>
          <w:rFonts w:ascii="Segoe UI" w:hAnsi="Segoe UI" w:cs="Segoe UI"/>
          <w:sz w:val="24"/>
        </w:rPr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С сентября 2024 года вступил в силу приказ Росреестра о порядке уведомления </w:t>
      </w:r>
      <w:r>
        <w:rPr>
          <w:rFonts w:ascii="Segoe UI" w:hAnsi="Segoe UI" w:cs="Segoe UI"/>
          <w:sz w:val="24"/>
        </w:rPr>
        <w:t xml:space="preserve">ППК «Роскадастр» о повреждении или уничтожении пунктов государственной геодезической сети, государственной нивелирной сети, государственной гравиметрической сети и геодезических сетей специального назначения. Ранее эта информация направлялась в Росреестр. </w:t>
      </w:r>
      <w:r>
        <w:rPr>
          <w:rFonts w:ascii="Segoe UI" w:hAnsi="Segoe UI" w:cs="Segoe UI"/>
          <w:sz w:val="24"/>
        </w:rPr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i/>
          <w:sz w:val="24"/>
        </w:rPr>
        <w:t xml:space="preserve">«Собственники земельных участков, на которых находятся пункты, и лица, выполняющие геодезические и картографические работы, должны сообщать о случаях повреждения или уничтожения сетей в течение 15 календарных дней со </w:t>
      </w:r>
      <w:r>
        <w:rPr>
          <w:rFonts w:ascii="Segoe UI" w:hAnsi="Segoe UI" w:cs="Segoe UI"/>
          <w:i/>
          <w:sz w:val="24"/>
        </w:rPr>
        <w:t xml:space="preserve">дня обнаружения фактов»,</w:t>
      </w:r>
      <w:r>
        <w:rPr>
          <w:rFonts w:ascii="Segoe UI" w:hAnsi="Segoe UI" w:cs="Segoe UI"/>
          <w:sz w:val="24"/>
        </w:rPr>
        <w:t xml:space="preserve"> – подчеркнул заместитель директора филиала публично-правовой компании «Роскадастр» по УФО </w:t>
      </w:r>
      <w:r>
        <w:rPr>
          <w:rFonts w:ascii="Segoe UI" w:hAnsi="Segoe UI" w:cs="Segoe UI"/>
          <w:b/>
          <w:sz w:val="24"/>
        </w:rPr>
        <w:t xml:space="preserve">Юрий Белоусов.</w:t>
      </w:r>
      <w:r>
        <w:rPr>
          <w:rFonts w:ascii="Segoe UI" w:hAnsi="Segoe UI" w:cs="Segoe UI"/>
          <w:sz w:val="24"/>
        </w:rPr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b/>
          <w:sz w:val="24"/>
        </w:rPr>
        <w:t xml:space="preserve">Важно!</w:t>
      </w:r>
      <w:r>
        <w:rPr>
          <w:rFonts w:ascii="Segoe UI" w:hAnsi="Segoe UI" w:cs="Segoe UI"/>
          <w:b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Информация направляется однократно и должна содержать данные об отправителе, состоянии пункта, его местоположении и кадастровом номере объекта недвижимости, причинах повреждения или уничтожения пункта ГГС</w:t>
      </w:r>
      <w:r>
        <w:rPr>
          <w:rFonts w:ascii="Segoe UI" w:hAnsi="Segoe UI" w:cs="Segoe UI"/>
          <w:sz w:val="24"/>
        </w:rPr>
        <w:t xml:space="preserve">/ГНС</w:t>
      </w:r>
      <w:r>
        <w:rPr>
          <w:rFonts w:ascii="Segoe UI" w:hAnsi="Segoe UI" w:cs="Segoe UI"/>
          <w:sz w:val="24"/>
        </w:rPr>
        <w:t xml:space="preserve">. Также можно указать название пункта, тип его центра и знака, номер марки пункта, приложить фото- и видеоматериалы.</w:t>
      </w:r>
      <w:r>
        <w:rPr>
          <w:rFonts w:ascii="Segoe UI" w:hAnsi="Segoe UI" w:cs="Segoe UI"/>
          <w:sz w:val="24"/>
        </w:rPr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Эти данные </w:t>
      </w:r>
      <w:r>
        <w:rPr>
          <w:rFonts w:ascii="Segoe UI" w:hAnsi="Segoe UI" w:cs="Segoe UI"/>
          <w:sz w:val="24"/>
        </w:rPr>
        <w:t xml:space="preserve">могут передаваться </w:t>
      </w:r>
      <w:r>
        <w:rPr>
          <w:rFonts w:ascii="Segoe UI" w:hAnsi="Segoe UI" w:cs="Segoe UI"/>
          <w:sz w:val="24"/>
        </w:rPr>
        <w:t xml:space="preserve">в </w:t>
      </w:r>
      <w:r>
        <w:rPr>
          <w:rFonts w:ascii="Segoe UI" w:hAnsi="Segoe UI" w:cs="Segoe UI"/>
          <w:sz w:val="24"/>
        </w:rPr>
        <w:t xml:space="preserve">филиал публично-правовой компании «Роскадастр» по Уральскому федеральному округу </w:t>
      </w:r>
      <w:r>
        <w:rPr>
          <w:rFonts w:ascii="Segoe UI" w:hAnsi="Segoe UI" w:cs="Segoe UI"/>
          <w:sz w:val="24"/>
        </w:rPr>
        <w:t xml:space="preserve">несколькими способами: </w:t>
      </w:r>
      <w:r>
        <w:rPr>
          <w:rFonts w:ascii="Segoe UI" w:hAnsi="Segoe UI" w:cs="Segoe UI"/>
          <w:sz w:val="24"/>
        </w:rPr>
        <w:t xml:space="preserve">по </w:t>
      </w:r>
      <w:r>
        <w:rPr>
          <w:rFonts w:ascii="Segoe UI" w:hAnsi="Segoe UI" w:cs="Segoe UI"/>
          <w:sz w:val="24"/>
        </w:rPr>
        <w:t xml:space="preserve">адресу электронной почты: </w:t>
      </w:r>
      <w:hyperlink r:id="rId9" w:tooltip="mailto:filial@ural.kadastr.ru" w:history="1">
        <w:r>
          <w:rPr>
            <w:rStyle w:val="621"/>
            <w:rFonts w:ascii="Segoe UI" w:hAnsi="Segoe UI" w:cs="Segoe UI"/>
            <w:sz w:val="24"/>
            <w:lang w:val="en-US"/>
          </w:rPr>
          <w:t xml:space="preserve">filial</w:t>
        </w:r>
        <w:r>
          <w:rPr>
            <w:rStyle w:val="621"/>
            <w:rFonts w:ascii="Segoe UI" w:hAnsi="Segoe UI" w:cs="Segoe UI"/>
            <w:sz w:val="24"/>
          </w:rPr>
          <w:t xml:space="preserve">@</w:t>
        </w:r>
        <w:r>
          <w:rPr>
            <w:rStyle w:val="621"/>
            <w:rFonts w:ascii="Segoe UI" w:hAnsi="Segoe UI" w:cs="Segoe UI"/>
            <w:sz w:val="24"/>
            <w:lang w:val="en-US"/>
          </w:rPr>
          <w:t xml:space="preserve">ural</w:t>
        </w:r>
        <w:r>
          <w:rPr>
            <w:rStyle w:val="621"/>
            <w:rFonts w:ascii="Segoe UI" w:hAnsi="Segoe UI" w:cs="Segoe UI"/>
            <w:sz w:val="24"/>
          </w:rPr>
          <w:t xml:space="preserve">.</w:t>
        </w:r>
        <w:r>
          <w:rPr>
            <w:rStyle w:val="621"/>
            <w:rFonts w:ascii="Segoe UI" w:hAnsi="Segoe UI" w:cs="Segoe UI"/>
            <w:sz w:val="24"/>
            <w:lang w:val="en-US"/>
          </w:rPr>
          <w:t xml:space="preserve">kadastr</w:t>
        </w:r>
        <w:r>
          <w:rPr>
            <w:rStyle w:val="621"/>
            <w:rFonts w:ascii="Segoe UI" w:hAnsi="Segoe UI" w:cs="Segoe UI"/>
            <w:sz w:val="24"/>
          </w:rPr>
          <w:t xml:space="preserve">.</w:t>
        </w:r>
        <w:r>
          <w:rPr>
            <w:rStyle w:val="621"/>
            <w:rFonts w:ascii="Segoe UI" w:hAnsi="Segoe UI" w:cs="Segoe UI"/>
            <w:sz w:val="24"/>
            <w:lang w:val="en-US"/>
          </w:rPr>
          <w:t xml:space="preserve">ru</w:t>
        </w:r>
      </w:hyperlink>
      <w:r>
        <w:rPr>
          <w:rFonts w:ascii="Segoe UI" w:hAnsi="Segoe UI" w:cs="Segoe UI"/>
          <w:sz w:val="24"/>
        </w:rPr>
        <w:t xml:space="preserve">, </w:t>
      </w:r>
      <w:r>
        <w:rPr>
          <w:rFonts w:ascii="Segoe UI" w:hAnsi="Segoe UI" w:cs="Segoe UI"/>
          <w:sz w:val="24"/>
        </w:rPr>
        <w:t xml:space="preserve">почтовым отправлением</w:t>
      </w:r>
      <w:r>
        <w:rPr>
          <w:rFonts w:ascii="Segoe UI" w:hAnsi="Segoe UI" w:cs="Segoe UI"/>
          <w:sz w:val="24"/>
        </w:rPr>
        <w:t xml:space="preserve">: 620026,</w:t>
      </w:r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       г. Екатеринбург, ул. Красноармейская, 92А</w:t>
      </w:r>
      <w:r>
        <w:rPr>
          <w:rFonts w:ascii="Segoe UI" w:hAnsi="Segoe UI" w:cs="Segoe UI"/>
          <w:sz w:val="24"/>
        </w:rPr>
        <w:t xml:space="preserve">,</w:t>
      </w:r>
      <w:r>
        <w:rPr>
          <w:rFonts w:ascii="Segoe UI" w:hAnsi="Segoe UI" w:cs="Segoe UI"/>
          <w:sz w:val="24"/>
        </w:rPr>
        <w:t xml:space="preserve"> либо лично</w:t>
      </w:r>
      <w:r>
        <w:rPr>
          <w:rFonts w:ascii="Segoe UI" w:hAnsi="Segoe UI" w:cs="Segoe UI"/>
          <w:sz w:val="24"/>
        </w:rPr>
        <w:t xml:space="preserve">.</w:t>
      </w:r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Также, можно заполнить раздел сайта </w:t>
      </w:r>
      <w:r>
        <w:rPr>
          <w:rFonts w:ascii="Segoe UI" w:hAnsi="Segoe UI" w:cs="Segoe UI"/>
          <w:sz w:val="24"/>
        </w:rPr>
        <w:t xml:space="preserve">филиал</w:t>
      </w:r>
      <w:r>
        <w:rPr>
          <w:rFonts w:ascii="Segoe UI" w:hAnsi="Segoe UI" w:cs="Segoe UI"/>
          <w:sz w:val="24"/>
        </w:rPr>
        <w:t xml:space="preserve">а</w:t>
      </w:r>
      <w:r>
        <w:rPr>
          <w:rFonts w:ascii="Segoe UI" w:hAnsi="Segoe UI" w:cs="Segoe UI"/>
          <w:sz w:val="24"/>
        </w:rPr>
        <w:t xml:space="preserve"> публично-правовой компании «Роскадастр» по Уральскому федеральному округу </w:t>
      </w:r>
      <w:r>
        <w:rPr>
          <w:rFonts w:ascii="Segoe UI" w:hAnsi="Segoe UI" w:cs="Segoe UI"/>
          <w:sz w:val="24"/>
        </w:rPr>
        <w:t xml:space="preserve">(</w:t>
      </w:r>
      <w:hyperlink r:id="rId10" w:tooltip="http://www.kadastr.ru" w:history="1">
        <w:r>
          <w:rPr>
            <w:rStyle w:val="621"/>
            <w:rFonts w:ascii="Segoe UI" w:hAnsi="Segoe UI" w:cs="Segoe UI"/>
            <w:sz w:val="24"/>
            <w:lang w:val="en-US"/>
          </w:rPr>
          <w:t xml:space="preserve">www</w:t>
        </w:r>
        <w:r>
          <w:rPr>
            <w:rStyle w:val="621"/>
            <w:rFonts w:ascii="Segoe UI" w:hAnsi="Segoe UI" w:cs="Segoe UI"/>
            <w:sz w:val="24"/>
          </w:rPr>
          <w:t xml:space="preserve">.</w:t>
        </w:r>
        <w:r>
          <w:rPr>
            <w:rStyle w:val="621"/>
            <w:rFonts w:ascii="Segoe UI" w:hAnsi="Segoe UI" w:cs="Segoe UI"/>
            <w:sz w:val="24"/>
            <w:lang w:val="en-US"/>
          </w:rPr>
          <w:t xml:space="preserve">kadastr</w:t>
        </w:r>
        <w:r>
          <w:rPr>
            <w:rStyle w:val="621"/>
            <w:rFonts w:ascii="Segoe UI" w:hAnsi="Segoe UI" w:cs="Segoe UI"/>
            <w:sz w:val="24"/>
          </w:rPr>
          <w:t xml:space="preserve">.</w:t>
        </w:r>
        <w:r>
          <w:rPr>
            <w:rStyle w:val="621"/>
            <w:rFonts w:ascii="Segoe UI" w:hAnsi="Segoe UI" w:cs="Segoe UI"/>
            <w:sz w:val="24"/>
            <w:lang w:val="en-US"/>
          </w:rPr>
          <w:t xml:space="preserve">ru</w:t>
        </w:r>
      </w:hyperlink>
      <w:r>
        <w:rPr>
          <w:rStyle w:val="621"/>
          <w:rFonts w:ascii="Segoe UI" w:hAnsi="Segoe UI" w:cs="Segoe UI"/>
          <w:sz w:val="24"/>
        </w:rPr>
        <w:t xml:space="preserve">)</w:t>
      </w:r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вкладка «Обратная связь» - «Обращения онлайн»</w:t>
      </w:r>
      <w:r>
        <w:rPr>
          <w:rFonts w:ascii="Segoe UI" w:hAnsi="Segoe UI" w:cs="Segoe UI"/>
          <w:sz w:val="24"/>
        </w:rPr>
        <w:t xml:space="preserve">, выбрав в строке Филиал – Свердловская область и Ханты-Мансийский АО и указав тему обращения – иные вопросы. </w:t>
      </w:r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</w:r>
    </w:p>
    <w:p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uiPriority w:val="99"/>
    <w:unhideWhenUsed/>
    <w:rPr>
      <w:color w:val="0563c1" w:themeColor="hyperlink"/>
      <w:u w:val="single"/>
    </w:rPr>
  </w:style>
  <w:style w:type="character" w:styleId="622" w:customStyle="1">
    <w:name w:val="Обычный (Интернет) Знак"/>
    <w:link w:val="62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623">
    <w:name w:val="Normal (Web)"/>
    <w:basedOn w:val="617"/>
    <w:link w:val="622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mailto:filial@ural.kadastr.ru" TargetMode="External"/><Relationship Id="rId10" Type="http://schemas.openxmlformats.org/officeDocument/2006/relationships/hyperlink" Target="http://www.kada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NKT</dc:creator>
  <cp:revision>9</cp:revision>
  <dcterms:created xsi:type="dcterms:W3CDTF">2025-03-04T04:23:00Z</dcterms:created>
  <dcterms:modified xsi:type="dcterms:W3CDTF">2025-03-04T08:59:50Z</dcterms:modified>
</cp:coreProperties>
</file>